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956C8">
      <w:pPr>
        <w:spacing w:line="360" w:lineRule="auto"/>
        <w:rPr>
          <w:sz w:val="24"/>
        </w:rPr>
      </w:pPr>
    </w:p>
    <w:p w14:paraId="4D032FAA">
      <w:pPr>
        <w:spacing w:line="360" w:lineRule="auto"/>
        <w:ind w:firstLine="482" w:firstLineChars="200"/>
        <w:rPr>
          <w:rFonts w:ascii="宋体" w:hAnsi="宋体"/>
          <w:b/>
          <w:sz w:val="24"/>
        </w:rPr>
      </w:pPr>
      <w:r>
        <w:rPr>
          <w:rFonts w:hint="eastAsia" w:ascii="宋体" w:hAnsi="宋体"/>
          <w:b/>
          <w:sz w:val="24"/>
        </w:rPr>
        <w:t>四、技术要求</w:t>
      </w:r>
    </w:p>
    <w:p w14:paraId="0E487403">
      <w:pPr>
        <w:spacing w:line="360" w:lineRule="auto"/>
        <w:ind w:firstLine="480" w:firstLineChars="200"/>
        <w:rPr>
          <w:rFonts w:ascii="宋体" w:hAnsi="宋体"/>
          <w:sz w:val="24"/>
        </w:rPr>
      </w:pPr>
      <w:r>
        <w:rPr>
          <w:rFonts w:hint="eastAsia" w:ascii="宋体" w:hAnsi="宋体"/>
          <w:sz w:val="24"/>
        </w:rPr>
        <w:t>天津中医药大学web应用防火墙设备采购项目</w:t>
      </w:r>
    </w:p>
    <w:tbl>
      <w:tblPr>
        <w:tblStyle w:val="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06"/>
        <w:gridCol w:w="5599"/>
        <w:gridCol w:w="567"/>
        <w:gridCol w:w="425"/>
        <w:gridCol w:w="665"/>
        <w:gridCol w:w="805"/>
      </w:tblGrid>
      <w:tr w14:paraId="3B4A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3" w:type="dxa"/>
            <w:vAlign w:val="center"/>
          </w:tcPr>
          <w:p w14:paraId="0C97561C">
            <w:pPr>
              <w:jc w:val="center"/>
              <w:rPr>
                <w:b/>
                <w:szCs w:val="21"/>
              </w:rPr>
            </w:pPr>
            <w:r>
              <w:rPr>
                <w:b/>
                <w:szCs w:val="21"/>
              </w:rPr>
              <w:t>序号</w:t>
            </w:r>
          </w:p>
        </w:tc>
        <w:tc>
          <w:tcPr>
            <w:tcW w:w="806" w:type="dxa"/>
            <w:vAlign w:val="center"/>
          </w:tcPr>
          <w:p w14:paraId="24CF1A6F">
            <w:pPr>
              <w:jc w:val="center"/>
              <w:rPr>
                <w:b/>
                <w:szCs w:val="21"/>
              </w:rPr>
            </w:pPr>
            <w:r>
              <w:rPr>
                <w:rFonts w:hint="eastAsia"/>
                <w:b/>
                <w:szCs w:val="21"/>
              </w:rPr>
              <w:t>标的</w:t>
            </w:r>
            <w:r>
              <w:rPr>
                <w:b/>
                <w:szCs w:val="21"/>
              </w:rPr>
              <w:t>名称</w:t>
            </w:r>
          </w:p>
        </w:tc>
        <w:tc>
          <w:tcPr>
            <w:tcW w:w="5599" w:type="dxa"/>
            <w:vAlign w:val="center"/>
          </w:tcPr>
          <w:p w14:paraId="3835D8E2">
            <w:pPr>
              <w:jc w:val="center"/>
              <w:rPr>
                <w:b/>
                <w:szCs w:val="21"/>
              </w:rPr>
            </w:pPr>
            <w:r>
              <w:rPr>
                <w:b/>
                <w:szCs w:val="21"/>
              </w:rPr>
              <w:t>技术要求</w:t>
            </w:r>
          </w:p>
        </w:tc>
        <w:tc>
          <w:tcPr>
            <w:tcW w:w="567" w:type="dxa"/>
            <w:vAlign w:val="center"/>
          </w:tcPr>
          <w:p w14:paraId="04CE37AA">
            <w:pPr>
              <w:jc w:val="center"/>
              <w:rPr>
                <w:b/>
                <w:szCs w:val="21"/>
              </w:rPr>
            </w:pPr>
            <w:r>
              <w:rPr>
                <w:b/>
                <w:szCs w:val="21"/>
              </w:rPr>
              <w:t>单位</w:t>
            </w:r>
          </w:p>
        </w:tc>
        <w:tc>
          <w:tcPr>
            <w:tcW w:w="425" w:type="dxa"/>
            <w:vAlign w:val="center"/>
          </w:tcPr>
          <w:p w14:paraId="763A14E6">
            <w:pPr>
              <w:jc w:val="center"/>
              <w:rPr>
                <w:b/>
                <w:szCs w:val="21"/>
              </w:rPr>
            </w:pPr>
            <w:r>
              <w:rPr>
                <w:b/>
                <w:szCs w:val="21"/>
              </w:rPr>
              <w:t>数量</w:t>
            </w:r>
          </w:p>
        </w:tc>
        <w:tc>
          <w:tcPr>
            <w:tcW w:w="665" w:type="dxa"/>
            <w:vAlign w:val="center"/>
          </w:tcPr>
          <w:p w14:paraId="2D40B8D6">
            <w:pPr>
              <w:jc w:val="center"/>
              <w:rPr>
                <w:b/>
                <w:szCs w:val="21"/>
              </w:rPr>
            </w:pPr>
            <w:r>
              <w:rPr>
                <w:b/>
                <w:szCs w:val="21"/>
              </w:rPr>
              <w:t>是否属于现行节能产品政府采购清单强制采购范围</w:t>
            </w:r>
          </w:p>
        </w:tc>
        <w:tc>
          <w:tcPr>
            <w:tcW w:w="805" w:type="dxa"/>
            <w:vAlign w:val="center"/>
          </w:tcPr>
          <w:p w14:paraId="26FFB832">
            <w:pPr>
              <w:jc w:val="center"/>
              <w:rPr>
                <w:b/>
                <w:szCs w:val="21"/>
              </w:rPr>
            </w:pPr>
            <w:r>
              <w:rPr>
                <w:b/>
                <w:szCs w:val="21"/>
              </w:rPr>
              <w:t>是否属于集采目录内产品</w:t>
            </w:r>
          </w:p>
        </w:tc>
      </w:tr>
      <w:tr w14:paraId="388A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13" w:type="dxa"/>
            <w:vAlign w:val="center"/>
          </w:tcPr>
          <w:p w14:paraId="52FE2357">
            <w:pPr>
              <w:jc w:val="center"/>
              <w:rPr>
                <w:szCs w:val="21"/>
              </w:rPr>
            </w:pPr>
            <w:r>
              <w:rPr>
                <w:rFonts w:hint="eastAsia"/>
                <w:szCs w:val="21"/>
              </w:rPr>
              <w:t>1</w:t>
            </w:r>
          </w:p>
        </w:tc>
        <w:tc>
          <w:tcPr>
            <w:tcW w:w="806" w:type="dxa"/>
            <w:vAlign w:val="center"/>
          </w:tcPr>
          <w:p w14:paraId="7A9EB172">
            <w:pPr>
              <w:jc w:val="center"/>
              <w:rPr>
                <w:szCs w:val="21"/>
              </w:rPr>
            </w:pPr>
            <w:r>
              <w:rPr>
                <w:rFonts w:hint="eastAsia"/>
                <w:szCs w:val="21"/>
              </w:rPr>
              <w:t>WAF</w:t>
            </w:r>
          </w:p>
        </w:tc>
        <w:tc>
          <w:tcPr>
            <w:tcW w:w="5599" w:type="dxa"/>
          </w:tcPr>
          <w:p w14:paraId="6395B5D2">
            <w:pPr>
              <w:rPr>
                <w:rFonts w:cs="宋体"/>
              </w:rPr>
            </w:pPr>
            <w:r>
              <w:rPr>
                <w:rFonts w:hint="eastAsia" w:cs="宋体"/>
              </w:rPr>
              <w:t>1、</w:t>
            </w:r>
            <w:r>
              <w:rPr>
                <w:rFonts w:hint="eastAsia" w:cs="宋体"/>
                <w:kern w:val="0"/>
              </w:rPr>
              <w:t>★</w:t>
            </w:r>
            <w:r>
              <w:rPr>
                <w:rFonts w:hint="eastAsia" w:cs="宋体"/>
              </w:rPr>
              <w:t>硬件要求：专用Web硬件防火墙，非防火墙、UTM、IPS设备，具备独立自主知识产权；标准机架式设备，内存不少于32G，CPU核数(虚拟核)不低于4核；配置2个USB接口,1个RJ45串口，1个千兆管理电口，1个HA接口；配置不少于8个千兆光口（满配千兆多模光模块），不少于4个万兆光口（满配万兆多模光模块），不少于6个千兆电口（要求配置3组Bypass功能）；硬盘存储空间不小于2T SATA+128G SSD，配置不少于2个接口扩展插槽；</w:t>
            </w:r>
          </w:p>
          <w:p w14:paraId="016D25DD">
            <w:pPr>
              <w:rPr>
                <w:rFonts w:cs="宋体"/>
              </w:rPr>
            </w:pPr>
            <w:r>
              <w:rPr>
                <w:rFonts w:hint="eastAsia" w:cs="宋体"/>
              </w:rPr>
              <w:t>2、</w:t>
            </w:r>
            <w:r>
              <w:rPr>
                <w:rFonts w:hint="eastAsia" w:cs="宋体"/>
                <w:kern w:val="0"/>
              </w:rPr>
              <w:t>★</w:t>
            </w:r>
            <w:r>
              <w:rPr>
                <w:rFonts w:hint="eastAsia" w:cs="宋体"/>
              </w:rPr>
              <w:t>性能要求：网络层吞吐量不低于20 Gbps，应用层吞吐量不低于6Gbps，并发连接数不少于130万；</w:t>
            </w:r>
          </w:p>
          <w:p w14:paraId="53524A54">
            <w:pPr>
              <w:rPr>
                <w:rFonts w:cs="宋体"/>
              </w:rPr>
            </w:pPr>
            <w:r>
              <w:rPr>
                <w:rFonts w:hint="eastAsia" w:cs="宋体"/>
              </w:rPr>
              <w:t>3、部署方式要求：1、支持旁路镜像、透明代理、透明桥、路由代理和反向代理部署；支持HA模式，支持配置信息同步、透明代理支持主/主模式；支持IPv4/IPv6协议双栈；</w:t>
            </w:r>
          </w:p>
          <w:p w14:paraId="16FA5774">
            <w:pPr>
              <w:rPr>
                <w:rFonts w:cs="宋体"/>
              </w:rPr>
            </w:pPr>
            <w:r>
              <w:rPr>
                <w:rFonts w:hint="eastAsia" w:cs="宋体"/>
              </w:rPr>
              <w:t>4、报告生成要求：支持按用户行为、攻击检测日志分析和节点运行状态等维度一键生成常规防护报告，并可自定义报告内容、统计周期与报告格式，其中报告格式不少于3种：PNG、PDF、HTML。并可按日、周、月等统计周期一键生成定时报告；</w:t>
            </w:r>
          </w:p>
          <w:p w14:paraId="1CF9C167">
            <w:pPr>
              <w:rPr>
                <w:rFonts w:cs="宋体"/>
              </w:rPr>
            </w:pPr>
            <w:r>
              <w:rPr>
                <w:rFonts w:hint="eastAsia" w:cs="宋体"/>
              </w:rPr>
              <w:t>5、</w:t>
            </w:r>
            <w:r>
              <w:rPr>
                <w:rFonts w:hint="eastAsia" w:cs="宋体"/>
                <w:kern w:val="0"/>
              </w:rPr>
              <w:t>★</w:t>
            </w:r>
            <w:r>
              <w:rPr>
                <w:rFonts w:hint="eastAsia" w:cs="宋体"/>
              </w:rPr>
              <w:t>日志存储要求：支持日志本地与远程存储功能，支持日志使用Syslog、Email等方式进行输出。本地日志存储时间不少于6个月；</w:t>
            </w:r>
          </w:p>
          <w:p w14:paraId="347D521A">
            <w:pPr>
              <w:rPr>
                <w:rFonts w:cs="宋体"/>
              </w:rPr>
            </w:pPr>
            <w:r>
              <w:rPr>
                <w:rFonts w:hint="eastAsia" w:cs="宋体"/>
              </w:rPr>
              <w:t>6、虚拟补丁功能要求：支持虚拟补丁功能，系统内置大量如WebShell、用友命令执行、Microsoft远程代码执行等常见漏洞防护策略集，保护业务系统不受已知漏洞威胁；</w:t>
            </w:r>
          </w:p>
          <w:p w14:paraId="46C38670">
            <w:pPr>
              <w:rPr>
                <w:rFonts w:cs="宋体"/>
              </w:rPr>
            </w:pPr>
            <w:r>
              <w:rPr>
                <w:rFonts w:hint="eastAsia" w:cs="宋体"/>
              </w:rPr>
              <w:t>7、服务器响应信息检测要求：能够自动识别服务器错误信息包括：列目录、SQL报错、服务器异常信息等；</w:t>
            </w:r>
          </w:p>
          <w:p w14:paraId="56094C1B">
            <w:pPr>
              <w:rPr>
                <w:rFonts w:cs="宋体"/>
              </w:rPr>
            </w:pPr>
            <w:r>
              <w:rPr>
                <w:rFonts w:hint="eastAsia" w:cs="宋体"/>
              </w:rPr>
              <w:t>8、风险识别要求：无需规则配置，可通过语义分析技术识别OWASP TOP 10所公布的WEB应用程序安全风险，如SQL注入、XSS、PHP反序列化、Java反序列化、PHP代码注入、Java代码注入、命令注入、CSRF、SSRF、ASP代码注入、模版注入、文件包含、文件上传等13种常见攻击类型，可根据攻击语法特征，智能生成攻击威胁等级。</w:t>
            </w:r>
          </w:p>
          <w:p w14:paraId="3DB98458">
            <w:pPr>
              <w:rPr>
                <w:rFonts w:cs="宋体"/>
              </w:rPr>
            </w:pPr>
            <w:r>
              <w:rPr>
                <w:rFonts w:hint="eastAsia" w:cs="宋体"/>
              </w:rPr>
              <w:t>9、拦截要求：支持针对一些可疑的攻击或大规模攻击，当超过命中自定义规则设置阈值时，可基于用户、IP、Session限频或拦截</w:t>
            </w:r>
          </w:p>
          <w:p w14:paraId="11170A53">
            <w:pPr>
              <w:rPr>
                <w:rFonts w:cs="宋体"/>
              </w:rPr>
            </w:pPr>
            <w:r>
              <w:rPr>
                <w:rFonts w:hint="eastAsia" w:cs="宋体"/>
              </w:rPr>
              <w:t>10、漏洞防护能力要求：具备0day漏洞防护能力，检测攻击行为特征进行，实现告警和拦截。</w:t>
            </w:r>
          </w:p>
          <w:p w14:paraId="3BF3CA46">
            <w:pPr>
              <w:rPr>
                <w:rFonts w:cs="宋体"/>
              </w:rPr>
            </w:pPr>
            <w:r>
              <w:rPr>
                <w:rFonts w:hint="eastAsia" w:cs="宋体"/>
              </w:rPr>
              <w:t>11、攻击拦截要求：支持在客户端浏览器上打印攻击拦截事件ID，可通过拦截页面快速定位WAF服务是否可用及便于安全管理员快速定位误拦策略；</w:t>
            </w:r>
          </w:p>
          <w:p w14:paraId="12A3BB25">
            <w:pPr>
              <w:rPr>
                <w:rFonts w:cs="宋体"/>
              </w:rPr>
            </w:pPr>
            <w:r>
              <w:rPr>
                <w:rFonts w:hint="eastAsia" w:cs="宋体"/>
              </w:rPr>
              <w:t>12、监控要求：支持设备信息实时监控，支持可视化展示CPU使用率、内存使用率、磁盘使用率、网络读写；</w:t>
            </w:r>
          </w:p>
          <w:p w14:paraId="2E4F3A82">
            <w:pPr>
              <w:rPr>
                <w:rFonts w:cs="宋体"/>
              </w:rPr>
            </w:pPr>
            <w:r>
              <w:rPr>
                <w:rFonts w:hint="eastAsia" w:cs="宋体"/>
              </w:rPr>
              <w:t>13、页面定制要求：支持自定义Logo、平台名称、组织名称等，满足页面定制需求；</w:t>
            </w:r>
          </w:p>
          <w:p w14:paraId="30844C51">
            <w:pPr>
              <w:rPr>
                <w:rFonts w:cs="宋体"/>
              </w:rPr>
            </w:pPr>
            <w:r>
              <w:rPr>
                <w:rFonts w:hint="eastAsia" w:cs="宋体"/>
              </w:rPr>
              <w:t>14、三权分立要求系统支持三权分立，内置系统审计员、安全管理员和系统管理员。支持自定义创建角色，并可按需赋予所有功能模块的增、删、改、查权限，并可限制访问IP；</w:t>
            </w:r>
          </w:p>
          <w:p w14:paraId="27627C2C">
            <w:pPr>
              <w:rPr>
                <w:rFonts w:cs="宋体"/>
              </w:rPr>
            </w:pPr>
            <w:r>
              <w:rPr>
                <w:rFonts w:hint="eastAsia" w:cs="宋体"/>
              </w:rPr>
              <w:t>15、具备HTTP/1.X、HTTP/2和HTTPS报文解码能力，可对攻击者编码绕过行为进行有效识别。解码能力包括但不限于：HTML解码、Unicode解码、十六进制转换、斜杠反转义、二进制解码等不少于10种。能对10层的嵌套编码绕过行为进行有效检测与防护（提供截图并加盖产品厂商公章）</w:t>
            </w:r>
          </w:p>
          <w:p w14:paraId="7911C96B">
            <w:pPr>
              <w:rPr>
                <w:rFonts w:cs="宋体"/>
              </w:rPr>
            </w:pPr>
            <w:r>
              <w:rPr>
                <w:rFonts w:hint="eastAsia" w:cs="宋体"/>
              </w:rPr>
              <w:t>16、检测引擎支持自动区分注入型/非注入型攻击，可自动放行非注入型SQL、XSS等，避免业务请求包含完整SQL语言从而导致WAF大量误报（提供截图并加盖产品厂商公章）；</w:t>
            </w:r>
          </w:p>
          <w:p w14:paraId="584A0995">
            <w:pPr>
              <w:rPr>
                <w:rFonts w:cs="宋体"/>
              </w:rPr>
            </w:pPr>
            <w:r>
              <w:rPr>
                <w:rFonts w:hint="eastAsia" w:cs="宋体"/>
              </w:rPr>
              <w:t>17、支持对记录并存储全量访问日志，并可通过Syslog外发，便于安全管理员分析异常事件（提供截图并加盖产品厂商公章）；</w:t>
            </w:r>
          </w:p>
          <w:p w14:paraId="2652B4B3">
            <w:pPr>
              <w:rPr>
                <w:rFonts w:cs="宋体"/>
              </w:rPr>
            </w:pPr>
            <w:r>
              <w:rPr>
                <w:rFonts w:hint="eastAsia" w:cs="宋体"/>
              </w:rPr>
              <w:t>18、支持对后端服务器健康状态检测，支持四层和七层健康检查，支持协议至少包含TCP、http和https三种，四层监控检查需要支持配置检查间隔、重试次数、响应超时时间等，七层健康检查需要额外支持配置业务的域名、端口、路径、响应码等（提供截图并加盖产品厂商公章）；</w:t>
            </w:r>
          </w:p>
          <w:p w14:paraId="1BE42D9F">
            <w:pPr>
              <w:rPr>
                <w:rFonts w:cs="宋体"/>
              </w:rPr>
            </w:pPr>
            <w:r>
              <w:rPr>
                <w:rFonts w:hint="eastAsia" w:cs="宋体"/>
              </w:rPr>
              <w:t>19、支持基于路径的转发与防护策略配置，可将同域名下不同路径请求转发到后端不同服务器，并可配置不同的防护策略，便于安全管理员精细化管理（提供截图并加盖产品厂商公章）；</w:t>
            </w:r>
          </w:p>
          <w:p w14:paraId="7E4B570A">
            <w:pPr>
              <w:rPr>
                <w:rFonts w:cs="宋体"/>
              </w:rPr>
            </w:pPr>
            <w:r>
              <w:rPr>
                <w:rFonts w:hint="eastAsia" w:cs="宋体"/>
              </w:rPr>
              <w:t>20、支持并开通全功能接口OpenAPI，可实现全功能的远程调用，可快速融入企业整体安全架构（提供截图并加盖产品厂商公章）；</w:t>
            </w:r>
          </w:p>
          <w:p w14:paraId="350A5162">
            <w:pPr>
              <w:rPr>
                <w:rFonts w:cs="宋体"/>
              </w:rPr>
            </w:pPr>
            <w:r>
              <w:rPr>
                <w:rFonts w:hint="eastAsia" w:cs="宋体"/>
              </w:rPr>
              <w:t>21、★对接要求：支持按照校级网络安全管理中心接口规范要求实时上报Web应用防火墙告警及处置日志，提供加盖投标人公章的兼容性承诺函，明确承诺“支持按照校级网络安全管理中心接口规范要求实时上报告警及处置日志”；</w:t>
            </w:r>
          </w:p>
        </w:tc>
        <w:tc>
          <w:tcPr>
            <w:tcW w:w="567" w:type="dxa"/>
            <w:vAlign w:val="center"/>
          </w:tcPr>
          <w:p w14:paraId="67E0F6E3">
            <w:pPr>
              <w:jc w:val="center"/>
              <w:rPr>
                <w:szCs w:val="21"/>
              </w:rPr>
            </w:pPr>
            <w:r>
              <w:rPr>
                <w:rFonts w:hint="eastAsia"/>
                <w:szCs w:val="21"/>
              </w:rPr>
              <w:t>台</w:t>
            </w:r>
          </w:p>
        </w:tc>
        <w:tc>
          <w:tcPr>
            <w:tcW w:w="425" w:type="dxa"/>
            <w:vAlign w:val="center"/>
          </w:tcPr>
          <w:p w14:paraId="3C6C5DF2">
            <w:pPr>
              <w:jc w:val="center"/>
              <w:rPr>
                <w:szCs w:val="21"/>
              </w:rPr>
            </w:pPr>
            <w:r>
              <w:rPr>
                <w:rFonts w:hint="eastAsia"/>
                <w:szCs w:val="21"/>
              </w:rPr>
              <w:t>2</w:t>
            </w:r>
          </w:p>
        </w:tc>
        <w:tc>
          <w:tcPr>
            <w:tcW w:w="665" w:type="dxa"/>
            <w:vAlign w:val="center"/>
          </w:tcPr>
          <w:p w14:paraId="245CF3F1">
            <w:pPr>
              <w:jc w:val="center"/>
              <w:rPr>
                <w:szCs w:val="21"/>
              </w:rPr>
            </w:pPr>
            <w:r>
              <w:rPr>
                <w:rFonts w:hint="eastAsia"/>
                <w:szCs w:val="21"/>
              </w:rPr>
              <w:t>否</w:t>
            </w:r>
          </w:p>
        </w:tc>
        <w:tc>
          <w:tcPr>
            <w:tcW w:w="805" w:type="dxa"/>
            <w:vAlign w:val="center"/>
          </w:tcPr>
          <w:p w14:paraId="1D073507">
            <w:pPr>
              <w:jc w:val="center"/>
              <w:rPr>
                <w:szCs w:val="21"/>
              </w:rPr>
            </w:pPr>
            <w:r>
              <w:rPr>
                <w:szCs w:val="21"/>
              </w:rPr>
              <w:t>否</w:t>
            </w:r>
          </w:p>
        </w:tc>
      </w:tr>
    </w:tbl>
    <w:p w14:paraId="7DBF30C6"/>
    <w:p w14:paraId="2ABF140B">
      <w:pPr>
        <w:spacing w:line="360" w:lineRule="auto"/>
        <w:ind w:firstLine="480" w:firstLineChars="200"/>
        <w:outlineLvl w:val="0"/>
        <w:rPr>
          <w:sz w:val="24"/>
        </w:rPr>
      </w:pPr>
      <w:r>
        <w:rPr>
          <w:rFonts w:hint="eastAsia"/>
          <w:sz w:val="24"/>
        </w:rPr>
        <w:t>注：</w:t>
      </w:r>
    </w:p>
    <w:p w14:paraId="7F70A410">
      <w:pPr>
        <w:spacing w:line="360" w:lineRule="auto"/>
        <w:ind w:firstLine="480" w:firstLineChars="200"/>
        <w:outlineLvl w:val="0"/>
        <w:rPr>
          <w:sz w:val="24"/>
        </w:rPr>
      </w:pPr>
      <w:r>
        <w:rPr>
          <w:sz w:val="24"/>
        </w:rPr>
        <w:t>加注“</w:t>
      </w:r>
      <w:r>
        <w:rPr>
          <w:rFonts w:hint="eastAsia" w:ascii="宋体" w:hAnsi="宋体" w:cs="宋体"/>
          <w:sz w:val="24"/>
        </w:rPr>
        <w:t>★</w:t>
      </w:r>
      <w:r>
        <w:rPr>
          <w:sz w:val="24"/>
        </w:rPr>
        <w:t>”号条款为实质性条款，不得出现负偏离，发生负偏离即做无效标处理。</w:t>
      </w:r>
    </w:p>
    <w:p w14:paraId="1F52F140">
      <w:pPr>
        <w:spacing w:line="360" w:lineRule="auto"/>
        <w:ind w:firstLine="480" w:firstLineChars="200"/>
        <w:outlineLvl w:val="0"/>
        <w:rPr>
          <w:sz w:val="24"/>
        </w:rPr>
      </w:pPr>
      <w:r>
        <w:rPr>
          <w:rFonts w:hint="eastAsia"/>
          <w:sz w:val="24"/>
        </w:rPr>
        <w:t>加注“▲”号的产品为核心产品（如项目需求书中未明确核心产品，则视为全部产品均为核心产品）。</w:t>
      </w:r>
    </w:p>
    <w:p w14:paraId="6740DFA5">
      <w:pPr>
        <w:spacing w:line="360" w:lineRule="auto"/>
        <w:ind w:firstLine="482" w:firstLineChars="200"/>
        <w:outlineLvl w:val="0"/>
        <w:rPr>
          <w:b/>
          <w:bCs/>
          <w:sz w:val="24"/>
        </w:rPr>
      </w:pPr>
      <w:r>
        <w:rPr>
          <w:rFonts w:hint="eastAsia"/>
          <w:b/>
          <w:bCs/>
          <w:sz w:val="24"/>
        </w:rPr>
        <w:t>其它要求（实质性要求）</w:t>
      </w:r>
    </w:p>
    <w:p w14:paraId="3ED0AE4F">
      <w:pPr>
        <w:spacing w:line="360" w:lineRule="auto"/>
        <w:ind w:firstLine="480" w:firstLineChars="200"/>
        <w:outlineLvl w:val="0"/>
        <w:rPr>
          <w:sz w:val="24"/>
        </w:rPr>
      </w:pPr>
      <w:r>
        <w:rPr>
          <w:rFonts w:hint="eastAsia"/>
          <w:sz w:val="24"/>
        </w:rPr>
        <w:t>1、</w:t>
      </w:r>
      <w:r>
        <w:rPr>
          <w:rFonts w:hint="eastAsia"/>
          <w:sz w:val="24"/>
        </w:rPr>
        <w:tab/>
      </w:r>
      <w:r>
        <w:rPr>
          <w:rFonts w:hint="eastAsia"/>
          <w:sz w:val="24"/>
        </w:rPr>
        <w:t>售后服务及承诺质保期：自终验日期起，提供五年免费质保。</w:t>
      </w:r>
    </w:p>
    <w:p w14:paraId="3F7DBBFD">
      <w:pPr>
        <w:spacing w:line="360" w:lineRule="auto"/>
        <w:ind w:firstLine="480" w:firstLineChars="200"/>
        <w:outlineLvl w:val="0"/>
        <w:rPr>
          <w:sz w:val="24"/>
        </w:rPr>
      </w:pPr>
      <w:r>
        <w:rPr>
          <w:rFonts w:hint="eastAsia"/>
          <w:sz w:val="24"/>
        </w:rPr>
        <w:t>2、</w:t>
      </w:r>
      <w:r>
        <w:rPr>
          <w:rFonts w:hint="eastAsia"/>
          <w:sz w:val="24"/>
        </w:rPr>
        <w:tab/>
      </w:r>
      <w:r>
        <w:rPr>
          <w:rFonts w:hint="eastAsia"/>
          <w:sz w:val="24"/>
        </w:rPr>
        <w:t>投标人资格要求：要求供应商为实力雄厚、技术领先的大中型企业，以提供安全的软、硬件解决方案。</w:t>
      </w:r>
    </w:p>
    <w:p w14:paraId="4BFDEC68">
      <w:pPr>
        <w:spacing w:line="360" w:lineRule="auto"/>
        <w:ind w:firstLine="482" w:firstLineChars="200"/>
        <w:rPr>
          <w:rFonts w:ascii="宋体" w:hAnsi="宋体"/>
          <w:b/>
          <w:sz w:val="24"/>
        </w:rPr>
      </w:pPr>
      <w:r>
        <w:rPr>
          <w:rFonts w:hint="eastAsia" w:ascii="宋体" w:hAnsi="宋体"/>
          <w:b/>
          <w:sz w:val="24"/>
        </w:rPr>
        <w:t>五、商务要求</w:t>
      </w:r>
    </w:p>
    <w:p w14:paraId="6763288C">
      <w:pPr>
        <w:spacing w:line="360" w:lineRule="auto"/>
        <w:ind w:firstLine="480" w:firstLineChars="200"/>
        <w:outlineLvl w:val="0"/>
        <w:rPr>
          <w:sz w:val="24"/>
        </w:rPr>
      </w:pPr>
      <w:r>
        <w:rPr>
          <w:rFonts w:hint="eastAsia"/>
          <w:sz w:val="24"/>
        </w:rPr>
        <w:t>1. 提供所投产品5年质保，终身维修。</w:t>
      </w:r>
    </w:p>
    <w:p w14:paraId="621769BC">
      <w:pPr>
        <w:spacing w:line="360" w:lineRule="auto"/>
        <w:ind w:firstLine="480" w:firstLineChars="200"/>
        <w:outlineLvl w:val="0"/>
        <w:rPr>
          <w:sz w:val="24"/>
        </w:rPr>
      </w:pPr>
      <w:r>
        <w:rPr>
          <w:rFonts w:hint="eastAsia"/>
          <w:sz w:val="24"/>
        </w:rPr>
        <w:t>2. 货到：签订合同之日起15日内（特殊情况以合同为准）。</w:t>
      </w:r>
    </w:p>
    <w:p w14:paraId="37403A33">
      <w:pPr>
        <w:spacing w:line="360" w:lineRule="auto"/>
        <w:ind w:firstLine="480" w:firstLineChars="200"/>
        <w:outlineLvl w:val="0"/>
        <w:rPr>
          <w:sz w:val="24"/>
        </w:rPr>
      </w:pPr>
      <w:r>
        <w:rPr>
          <w:rFonts w:hint="eastAsia"/>
          <w:sz w:val="24"/>
        </w:rPr>
        <w:t>安装（施工）完成：货到之日起5日内（特殊情况以合同为准）。</w:t>
      </w:r>
    </w:p>
    <w:p w14:paraId="36057565">
      <w:pPr>
        <w:spacing w:line="360" w:lineRule="auto"/>
        <w:ind w:firstLine="480" w:firstLineChars="200"/>
        <w:outlineLvl w:val="0"/>
        <w:rPr>
          <w:sz w:val="24"/>
        </w:rPr>
      </w:pPr>
      <w:r>
        <w:rPr>
          <w:rFonts w:hint="eastAsia"/>
          <w:sz w:val="24"/>
        </w:rPr>
        <w:t>3.付款方式：签订合同之日起15日内支付合同总额的30%，货到安装调试完成验收合格之日起15日内支付合同总额的70%。</w:t>
      </w:r>
    </w:p>
    <w:p w14:paraId="4555344F">
      <w:pPr>
        <w:rPr>
          <w:rFonts w:ascii="黑体" w:eastAsia="黑体"/>
          <w:b/>
          <w:sz w:val="28"/>
          <w:szCs w:val="28"/>
        </w:rPr>
      </w:pPr>
      <w:bookmarkStart w:id="1" w:name="_GoBack"/>
      <w:bookmarkEnd w:id="1"/>
      <w:r>
        <w:rPr>
          <w:rFonts w:hint="eastAsia" w:ascii="黑体" w:eastAsia="黑体"/>
          <w:b/>
          <w:sz w:val="28"/>
          <w:szCs w:val="28"/>
        </w:rPr>
        <w:t>附件二</w:t>
      </w:r>
    </w:p>
    <w:p w14:paraId="70C4967C">
      <w:pPr>
        <w:spacing w:after="156" w:afterLines="50"/>
        <w:jc w:val="center"/>
        <w:rPr>
          <w:rFonts w:ascii="黑体" w:eastAsia="黑体"/>
          <w:b/>
          <w:sz w:val="32"/>
          <w:szCs w:val="32"/>
        </w:rPr>
      </w:pPr>
      <w:r>
        <w:rPr>
          <w:rFonts w:hint="eastAsia" w:ascii="黑体" w:eastAsia="黑体"/>
          <w:b/>
          <w:sz w:val="32"/>
          <w:szCs w:val="32"/>
        </w:rPr>
        <w:t>天津中医药大学政府采购招标方式确认表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43"/>
        <w:gridCol w:w="1417"/>
        <w:gridCol w:w="1955"/>
        <w:gridCol w:w="1467"/>
        <w:gridCol w:w="2446"/>
      </w:tblGrid>
      <w:tr w14:paraId="7A9D9C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46" w:hRule="atLeast"/>
          <w:jc w:val="center"/>
        </w:trPr>
        <w:tc>
          <w:tcPr>
            <w:tcW w:w="1243" w:type="dxa"/>
            <w:vAlign w:val="center"/>
          </w:tcPr>
          <w:p w14:paraId="40CE0071">
            <w:pPr>
              <w:jc w:val="center"/>
              <w:rPr>
                <w:rFonts w:ascii="宋体" w:hAnsi="宋体"/>
                <w:sz w:val="24"/>
              </w:rPr>
            </w:pPr>
            <w:r>
              <w:rPr>
                <w:rFonts w:hint="eastAsia" w:ascii="宋体" w:hAnsi="宋体"/>
                <w:sz w:val="24"/>
              </w:rPr>
              <w:t>申请部门</w:t>
            </w:r>
          </w:p>
        </w:tc>
        <w:tc>
          <w:tcPr>
            <w:tcW w:w="3372" w:type="dxa"/>
            <w:gridSpan w:val="2"/>
            <w:vAlign w:val="center"/>
          </w:tcPr>
          <w:p w14:paraId="39F3D062">
            <w:pPr>
              <w:widowControl/>
              <w:jc w:val="center"/>
              <w:rPr>
                <w:sz w:val="24"/>
              </w:rPr>
            </w:pPr>
            <w:r>
              <w:rPr>
                <w:rFonts w:hint="eastAsia"/>
                <w:sz w:val="24"/>
              </w:rPr>
              <w:t>网信办</w:t>
            </w:r>
          </w:p>
        </w:tc>
        <w:tc>
          <w:tcPr>
            <w:tcW w:w="1467" w:type="dxa"/>
            <w:vAlign w:val="center"/>
          </w:tcPr>
          <w:p w14:paraId="598E1791">
            <w:pPr>
              <w:widowControl/>
              <w:jc w:val="center"/>
              <w:rPr>
                <w:sz w:val="24"/>
              </w:rPr>
            </w:pPr>
            <w:r>
              <w:rPr>
                <w:rFonts w:hint="eastAsia"/>
                <w:sz w:val="24"/>
              </w:rPr>
              <w:t>申请日期</w:t>
            </w:r>
          </w:p>
        </w:tc>
        <w:tc>
          <w:tcPr>
            <w:tcW w:w="2446" w:type="dxa"/>
            <w:vAlign w:val="center"/>
          </w:tcPr>
          <w:p w14:paraId="3B2AF8F5">
            <w:pPr>
              <w:widowControl/>
              <w:jc w:val="center"/>
              <w:rPr>
                <w:sz w:val="24"/>
              </w:rPr>
            </w:pPr>
          </w:p>
        </w:tc>
      </w:tr>
      <w:tr w14:paraId="0CB68F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1243" w:type="dxa"/>
            <w:vAlign w:val="center"/>
          </w:tcPr>
          <w:p w14:paraId="0B832DBE">
            <w:pPr>
              <w:jc w:val="center"/>
              <w:rPr>
                <w:rFonts w:ascii="宋体" w:hAnsi="宋体"/>
                <w:sz w:val="24"/>
              </w:rPr>
            </w:pPr>
            <w:r>
              <w:rPr>
                <w:rFonts w:hint="eastAsia" w:ascii="宋体" w:hAnsi="宋体"/>
                <w:sz w:val="24"/>
              </w:rPr>
              <w:t>项目（设备）名称</w:t>
            </w:r>
          </w:p>
        </w:tc>
        <w:tc>
          <w:tcPr>
            <w:tcW w:w="3372" w:type="dxa"/>
            <w:gridSpan w:val="2"/>
            <w:vAlign w:val="center"/>
          </w:tcPr>
          <w:p w14:paraId="427E82CD">
            <w:pPr>
              <w:widowControl/>
              <w:rPr>
                <w:rFonts w:ascii="宋体" w:hAnsi="宋体"/>
                <w:sz w:val="24"/>
              </w:rPr>
            </w:pPr>
            <w:r>
              <w:rPr>
                <w:rFonts w:hint="eastAsia" w:ascii="宋体" w:hAnsi="宋体"/>
                <w:sz w:val="24"/>
              </w:rPr>
              <w:t>天津中医药大学web应用防火墙设备采购项目</w:t>
            </w:r>
          </w:p>
        </w:tc>
        <w:tc>
          <w:tcPr>
            <w:tcW w:w="1467" w:type="dxa"/>
            <w:vAlign w:val="center"/>
          </w:tcPr>
          <w:p w14:paraId="0A6CD5D5">
            <w:pPr>
              <w:widowControl/>
              <w:jc w:val="center"/>
              <w:rPr>
                <w:sz w:val="24"/>
              </w:rPr>
            </w:pPr>
            <w:r>
              <w:rPr>
                <w:rFonts w:hint="eastAsia" w:ascii="宋体" w:hAnsi="宋体"/>
                <w:sz w:val="24"/>
              </w:rPr>
              <w:t>预算（万元）</w:t>
            </w:r>
          </w:p>
        </w:tc>
        <w:tc>
          <w:tcPr>
            <w:tcW w:w="2446" w:type="dxa"/>
            <w:vAlign w:val="center"/>
          </w:tcPr>
          <w:p w14:paraId="0C53FA50">
            <w:pPr>
              <w:widowControl/>
              <w:jc w:val="center"/>
              <w:rPr>
                <w:rFonts w:ascii="宋体" w:hAnsi="宋体"/>
                <w:sz w:val="24"/>
              </w:rPr>
            </w:pPr>
            <w:r>
              <w:rPr>
                <w:rFonts w:hint="eastAsia" w:ascii="宋体" w:hAnsi="宋体"/>
                <w:sz w:val="24"/>
              </w:rPr>
              <w:t>50</w:t>
            </w:r>
          </w:p>
        </w:tc>
      </w:tr>
      <w:tr w14:paraId="0B4F4F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94" w:hRule="atLeast"/>
          <w:jc w:val="center"/>
        </w:trPr>
        <w:tc>
          <w:tcPr>
            <w:tcW w:w="1243" w:type="dxa"/>
            <w:vMerge w:val="restart"/>
            <w:vAlign w:val="center"/>
          </w:tcPr>
          <w:p w14:paraId="52B782EA">
            <w:pPr>
              <w:jc w:val="center"/>
              <w:rPr>
                <w:sz w:val="24"/>
              </w:rPr>
            </w:pPr>
            <w:r>
              <w:rPr>
                <w:rFonts w:hint="eastAsia"/>
                <w:sz w:val="24"/>
              </w:rPr>
              <w:t>招标方式及</w:t>
            </w:r>
            <w:r>
              <w:rPr>
                <w:sz w:val="24"/>
              </w:rPr>
              <w:t>适用情形</w:t>
            </w:r>
          </w:p>
        </w:tc>
        <w:tc>
          <w:tcPr>
            <w:tcW w:w="1417" w:type="dxa"/>
            <w:vAlign w:val="center"/>
          </w:tcPr>
          <w:p w14:paraId="652623DF">
            <w:pPr>
              <w:jc w:val="center"/>
              <w:rPr>
                <w:rFonts w:ascii="宋体" w:hAnsi="宋体"/>
                <w:sz w:val="24"/>
              </w:rPr>
            </w:pPr>
            <w:r>
              <w:rPr>
                <w:rFonts w:hint="eastAsia" w:ascii="宋体" w:hAnsi="宋体"/>
                <w:sz w:val="24"/>
              </w:rPr>
              <w:t>公开招标</w:t>
            </w:r>
          </w:p>
        </w:tc>
        <w:tc>
          <w:tcPr>
            <w:tcW w:w="5868" w:type="dxa"/>
            <w:gridSpan w:val="3"/>
            <w:vAlign w:val="center"/>
          </w:tcPr>
          <w:p w14:paraId="033B0C30">
            <w:pPr>
              <w:spacing w:line="440" w:lineRule="exact"/>
              <w:rPr>
                <w:rFonts w:ascii="Dotum" w:hAnsi="Dotum" w:eastAsia="Dotum"/>
                <w:sz w:val="24"/>
              </w:rPr>
            </w:pPr>
            <w:r>
              <w:rPr>
                <w:rFonts w:hint="eastAsia" w:ascii="Dotum" w:hAnsi="Dotum"/>
                <w:sz w:val="24"/>
              </w:rPr>
              <w:t>□ 最基本的政府采购招标方式，适应于各类采购项目，应用比较广泛。</w:t>
            </w:r>
          </w:p>
        </w:tc>
      </w:tr>
      <w:tr w14:paraId="283E9E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777" w:hRule="atLeast"/>
          <w:jc w:val="center"/>
        </w:trPr>
        <w:tc>
          <w:tcPr>
            <w:tcW w:w="1243" w:type="dxa"/>
            <w:vMerge w:val="continue"/>
            <w:vAlign w:val="center"/>
          </w:tcPr>
          <w:p w14:paraId="7CB06934">
            <w:pPr>
              <w:jc w:val="center"/>
              <w:rPr>
                <w:sz w:val="24"/>
              </w:rPr>
            </w:pPr>
          </w:p>
        </w:tc>
        <w:tc>
          <w:tcPr>
            <w:tcW w:w="1417" w:type="dxa"/>
            <w:vAlign w:val="center"/>
          </w:tcPr>
          <w:p w14:paraId="16C0DA0F">
            <w:pPr>
              <w:jc w:val="center"/>
              <w:rPr>
                <w:rFonts w:ascii="宋体" w:hAnsi="宋体"/>
                <w:sz w:val="24"/>
              </w:rPr>
            </w:pPr>
            <w:r>
              <w:rPr>
                <w:rFonts w:hint="eastAsia" w:ascii="宋体" w:hAnsi="宋体"/>
                <w:sz w:val="24"/>
              </w:rPr>
              <w:t>竞争性谈判</w:t>
            </w:r>
          </w:p>
          <w:p w14:paraId="7F7A2479">
            <w:pPr>
              <w:jc w:val="center"/>
              <w:rPr>
                <w:rFonts w:ascii="宋体" w:hAnsi="宋体"/>
                <w:sz w:val="24"/>
              </w:rPr>
            </w:pPr>
            <w:r>
              <w:rPr>
                <w:rFonts w:hint="eastAsia" w:ascii="宋体" w:hAnsi="宋体"/>
                <w:sz w:val="18"/>
              </w:rPr>
              <w:t>（须详述理由）</w:t>
            </w:r>
          </w:p>
        </w:tc>
        <w:tc>
          <w:tcPr>
            <w:tcW w:w="5868" w:type="dxa"/>
            <w:gridSpan w:val="3"/>
            <w:vAlign w:val="center"/>
          </w:tcPr>
          <w:p w14:paraId="0BD62A8D">
            <w:pPr>
              <w:spacing w:line="440" w:lineRule="exact"/>
              <w:rPr>
                <w:rFonts w:ascii="Dotum" w:hAnsi="Dotum"/>
                <w:sz w:val="24"/>
              </w:rPr>
            </w:pPr>
            <w:r>
              <w:rPr>
                <w:rFonts w:hint="eastAsia" w:ascii="Dotum" w:hAnsi="Dotum"/>
                <w:sz w:val="24"/>
              </w:rPr>
              <w:t>□ 招标后没有供应商投标或者没有合格标的，或者重新招标未能成立的。</w:t>
            </w:r>
          </w:p>
          <w:p w14:paraId="322B089D">
            <w:pPr>
              <w:spacing w:line="440" w:lineRule="exact"/>
              <w:rPr>
                <w:rFonts w:ascii="Dotum" w:hAnsi="Dotum"/>
                <w:sz w:val="24"/>
              </w:rPr>
            </w:pPr>
            <w:r>
              <w:rPr>
                <w:rFonts w:hint="eastAsia" w:ascii="Dotum" w:hAnsi="Dotum"/>
                <w:sz w:val="24"/>
              </w:rPr>
              <w:t>□ 技术复杂或者性质特殊，不能确定详细规格或者具体要求的。</w:t>
            </w:r>
          </w:p>
          <w:p w14:paraId="37F63B03">
            <w:pPr>
              <w:spacing w:line="440" w:lineRule="exact"/>
              <w:rPr>
                <w:rFonts w:ascii="Dotum" w:hAnsi="Dotum"/>
                <w:sz w:val="24"/>
              </w:rPr>
            </w:pPr>
            <w:r>
              <w:rPr>
                <w:rFonts w:hint="eastAsia" w:ascii="Dotum" w:hAnsi="Dotum"/>
                <w:sz w:val="24"/>
              </w:rPr>
              <w:t>□ 采用招标所需时间不能满足用户紧急需要的。</w:t>
            </w:r>
          </w:p>
          <w:p w14:paraId="7C42C2F8">
            <w:pPr>
              <w:spacing w:line="440" w:lineRule="exact"/>
              <w:rPr>
                <w:rFonts w:ascii="Dotum" w:hAnsi="Dotum"/>
                <w:sz w:val="24"/>
              </w:rPr>
            </w:pPr>
            <w:r>
              <w:rPr>
                <w:rFonts w:hint="eastAsia" w:ascii="Dotum" w:hAnsi="Dotum"/>
                <w:sz w:val="24"/>
              </w:rPr>
              <w:t>□ 不能事先计算出价格总额的。</w:t>
            </w:r>
          </w:p>
        </w:tc>
      </w:tr>
      <w:tr w14:paraId="4C0270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1243" w:type="dxa"/>
            <w:vMerge w:val="continue"/>
            <w:vAlign w:val="center"/>
          </w:tcPr>
          <w:p w14:paraId="0565B278">
            <w:pPr>
              <w:jc w:val="center"/>
              <w:rPr>
                <w:sz w:val="24"/>
              </w:rPr>
            </w:pPr>
          </w:p>
        </w:tc>
        <w:tc>
          <w:tcPr>
            <w:tcW w:w="1417" w:type="dxa"/>
            <w:vAlign w:val="center"/>
          </w:tcPr>
          <w:p w14:paraId="297C4A4F">
            <w:pPr>
              <w:jc w:val="center"/>
              <w:rPr>
                <w:rFonts w:ascii="宋体" w:hAnsi="宋体"/>
                <w:color w:val="FF0000"/>
                <w:sz w:val="24"/>
              </w:rPr>
            </w:pPr>
            <w:r>
              <w:rPr>
                <w:rFonts w:hint="eastAsia" w:ascii="宋体" w:hAnsi="宋体"/>
                <w:color w:val="FF0000"/>
                <w:sz w:val="24"/>
              </w:rPr>
              <w:t>竞争性磋商</w:t>
            </w:r>
          </w:p>
          <w:p w14:paraId="203B92B1">
            <w:pPr>
              <w:jc w:val="center"/>
              <w:rPr>
                <w:rFonts w:ascii="宋体" w:hAnsi="宋体"/>
                <w:sz w:val="24"/>
              </w:rPr>
            </w:pPr>
            <w:r>
              <w:rPr>
                <w:rFonts w:hint="eastAsia" w:ascii="宋体" w:hAnsi="宋体"/>
                <w:color w:val="FF0000"/>
                <w:sz w:val="18"/>
              </w:rPr>
              <w:t>（须详述理由）</w:t>
            </w:r>
          </w:p>
        </w:tc>
        <w:tc>
          <w:tcPr>
            <w:tcW w:w="5868" w:type="dxa"/>
            <w:gridSpan w:val="3"/>
            <w:vAlign w:val="center"/>
          </w:tcPr>
          <w:p w14:paraId="2877498C">
            <w:pPr>
              <w:spacing w:line="440" w:lineRule="exact"/>
              <w:rPr>
                <w:rFonts w:ascii="Dotum" w:hAnsi="Dotum"/>
                <w:sz w:val="24"/>
              </w:rPr>
            </w:pPr>
            <w:r>
              <w:rPr>
                <w:rFonts w:hint="eastAsia" w:ascii="Dotum" w:hAnsi="Dotum"/>
                <w:sz w:val="24"/>
              </w:rPr>
              <w:sym w:font="Wingdings 2" w:char="00A3"/>
            </w:r>
            <w:r>
              <w:rPr>
                <w:rFonts w:hint="eastAsia" w:ascii="Dotum" w:hAnsi="Dotum"/>
                <w:sz w:val="24"/>
              </w:rPr>
              <w:t xml:space="preserve"> </w:t>
            </w:r>
            <w:r>
              <w:rPr>
                <w:rFonts w:ascii="Dotum" w:hAnsi="Dotum"/>
                <w:sz w:val="24"/>
              </w:rPr>
              <w:t>政府购买服务项目</w:t>
            </w:r>
            <w:r>
              <w:rPr>
                <w:rFonts w:hint="eastAsia" w:ascii="Dotum" w:hAnsi="Dotum"/>
                <w:sz w:val="24"/>
              </w:rPr>
              <w:t>。</w:t>
            </w:r>
          </w:p>
          <w:p w14:paraId="034D5103">
            <w:pPr>
              <w:spacing w:line="440" w:lineRule="exact"/>
              <w:rPr>
                <w:rFonts w:ascii="Dotum" w:hAnsi="Dotum"/>
                <w:sz w:val="24"/>
              </w:rPr>
            </w:pPr>
            <w:r>
              <w:rPr>
                <w:rFonts w:hint="eastAsia" w:ascii="Dotum" w:hAnsi="Dotum"/>
                <w:sz w:val="24"/>
              </w:rPr>
              <w:sym w:font="Wingdings 2" w:char="0052"/>
            </w:r>
            <w:r>
              <w:rPr>
                <w:rFonts w:hint="eastAsia" w:ascii="Dotum" w:hAnsi="Dotum"/>
                <w:sz w:val="24"/>
              </w:rPr>
              <w:t xml:space="preserve"> </w:t>
            </w:r>
            <w:r>
              <w:rPr>
                <w:rFonts w:ascii="Dotum" w:hAnsi="Dotum"/>
                <w:sz w:val="24"/>
              </w:rPr>
              <w:t>技术复杂或者性质特殊，不能确定详细规格或者具体要求的</w:t>
            </w:r>
            <w:r>
              <w:rPr>
                <w:rFonts w:hint="eastAsia" w:ascii="Dotum" w:hAnsi="Dotum"/>
                <w:sz w:val="24"/>
              </w:rPr>
              <w:t>。</w:t>
            </w:r>
          </w:p>
          <w:p w14:paraId="482988B3">
            <w:pPr>
              <w:spacing w:line="440" w:lineRule="exact"/>
              <w:rPr>
                <w:rFonts w:ascii="Dotum" w:hAnsi="Dotum"/>
                <w:sz w:val="24"/>
              </w:rPr>
            </w:pPr>
            <w:r>
              <w:rPr>
                <w:rFonts w:hint="eastAsia" w:ascii="Dotum" w:hAnsi="Dotum"/>
                <w:sz w:val="24"/>
              </w:rPr>
              <w:t xml:space="preserve">□ </w:t>
            </w:r>
            <w:r>
              <w:rPr>
                <w:rFonts w:ascii="Dotum" w:hAnsi="Dotum"/>
                <w:sz w:val="24"/>
              </w:rPr>
              <w:t>因艺术品采购、专利、专有技术或者服务的时间、数量事先不能确定等原因不能事先计算出价格总额的</w:t>
            </w:r>
            <w:r>
              <w:rPr>
                <w:rFonts w:hint="eastAsia" w:ascii="Dotum" w:hAnsi="Dotum"/>
                <w:sz w:val="24"/>
              </w:rPr>
              <w:t xml:space="preserve">。   </w:t>
            </w:r>
          </w:p>
          <w:p w14:paraId="7C6E2619">
            <w:pPr>
              <w:spacing w:line="440" w:lineRule="exact"/>
              <w:rPr>
                <w:rFonts w:ascii="Dotum" w:hAnsi="Dotum"/>
                <w:sz w:val="24"/>
              </w:rPr>
            </w:pPr>
            <w:r>
              <w:rPr>
                <w:rFonts w:hint="eastAsia" w:ascii="Dotum" w:hAnsi="Dotum"/>
                <w:sz w:val="24"/>
              </w:rPr>
              <w:t xml:space="preserve">□ </w:t>
            </w:r>
            <w:r>
              <w:rPr>
                <w:rFonts w:ascii="Dotum" w:hAnsi="Dotum"/>
                <w:sz w:val="24"/>
              </w:rPr>
              <w:t>市场竞争不充分的科研项目，以及需要扶持的科技成果转化项目</w:t>
            </w:r>
            <w:r>
              <w:rPr>
                <w:rFonts w:hint="eastAsia" w:ascii="Dotum" w:hAnsi="Dotum"/>
                <w:sz w:val="24"/>
              </w:rPr>
              <w:t>。</w:t>
            </w:r>
          </w:p>
          <w:p w14:paraId="28B89394">
            <w:pPr>
              <w:spacing w:line="440" w:lineRule="exact"/>
              <w:rPr>
                <w:rFonts w:ascii="Dotum" w:hAnsi="Dotum"/>
                <w:sz w:val="24"/>
              </w:rPr>
            </w:pPr>
            <w:r>
              <w:rPr>
                <w:rFonts w:hint="eastAsia" w:ascii="Dotum" w:hAnsi="Dotum"/>
                <w:sz w:val="24"/>
              </w:rPr>
              <w:t xml:space="preserve">□ </w:t>
            </w:r>
            <w:r>
              <w:rPr>
                <w:rFonts w:ascii="Dotum" w:hAnsi="Dotum"/>
                <w:sz w:val="24"/>
              </w:rPr>
              <w:t>按照招标投标法及其实施条例必须进行招标的工程建设项目以外的工程建设项目</w:t>
            </w:r>
            <w:r>
              <w:rPr>
                <w:rFonts w:hint="eastAsia" w:ascii="Dotum" w:hAnsi="Dotum"/>
                <w:sz w:val="24"/>
              </w:rPr>
              <w:t>。</w:t>
            </w:r>
          </w:p>
        </w:tc>
      </w:tr>
      <w:tr w14:paraId="6E8695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897" w:hRule="atLeast"/>
          <w:jc w:val="center"/>
        </w:trPr>
        <w:tc>
          <w:tcPr>
            <w:tcW w:w="1243" w:type="dxa"/>
            <w:vMerge w:val="continue"/>
            <w:vAlign w:val="center"/>
          </w:tcPr>
          <w:p w14:paraId="149EFEE1">
            <w:pPr>
              <w:jc w:val="center"/>
              <w:rPr>
                <w:sz w:val="24"/>
              </w:rPr>
            </w:pPr>
          </w:p>
        </w:tc>
        <w:tc>
          <w:tcPr>
            <w:tcW w:w="1417" w:type="dxa"/>
            <w:vAlign w:val="center"/>
          </w:tcPr>
          <w:p w14:paraId="32A4C0F3">
            <w:pPr>
              <w:spacing w:line="440" w:lineRule="exact"/>
              <w:jc w:val="center"/>
              <w:rPr>
                <w:rFonts w:ascii="Dotum" w:hAnsi="Dotum"/>
                <w:sz w:val="24"/>
              </w:rPr>
            </w:pPr>
            <w:r>
              <w:rPr>
                <w:rFonts w:hint="eastAsia" w:ascii="Dotum" w:hAnsi="Dotum"/>
                <w:sz w:val="24"/>
              </w:rPr>
              <w:t>单一来源</w:t>
            </w:r>
          </w:p>
          <w:p w14:paraId="758B017E">
            <w:pPr>
              <w:spacing w:line="440" w:lineRule="exact"/>
              <w:jc w:val="center"/>
              <w:rPr>
                <w:rFonts w:ascii="Dotum" w:hAnsi="Dotum"/>
                <w:sz w:val="24"/>
              </w:rPr>
            </w:pPr>
            <w:r>
              <w:rPr>
                <w:rFonts w:hint="eastAsia" w:ascii="Dotum" w:hAnsi="Dotum"/>
                <w:sz w:val="18"/>
              </w:rPr>
              <w:t>（</w:t>
            </w:r>
            <w:r>
              <w:rPr>
                <w:rFonts w:hint="eastAsia" w:ascii="宋体" w:hAnsi="宋体"/>
                <w:sz w:val="18"/>
              </w:rPr>
              <w:t>须详述理由</w:t>
            </w:r>
            <w:r>
              <w:rPr>
                <w:rFonts w:hint="eastAsia" w:ascii="Dotum" w:hAnsi="Dotum"/>
                <w:sz w:val="18"/>
              </w:rPr>
              <w:t>）</w:t>
            </w:r>
          </w:p>
        </w:tc>
        <w:tc>
          <w:tcPr>
            <w:tcW w:w="5868" w:type="dxa"/>
            <w:gridSpan w:val="3"/>
            <w:vAlign w:val="center"/>
          </w:tcPr>
          <w:p w14:paraId="70C52918">
            <w:pPr>
              <w:spacing w:line="440" w:lineRule="exact"/>
              <w:rPr>
                <w:rFonts w:ascii="Dotum" w:hAnsi="Dotum"/>
                <w:sz w:val="24"/>
              </w:rPr>
            </w:pPr>
            <w:r>
              <w:rPr>
                <w:rFonts w:hint="eastAsia" w:ascii="Dotum" w:hAnsi="Dotum"/>
                <w:sz w:val="24"/>
              </w:rPr>
              <w:t>□ 只能从唯一供应商处采购的。</w:t>
            </w:r>
          </w:p>
          <w:p w14:paraId="56C67454">
            <w:pPr>
              <w:spacing w:line="440" w:lineRule="exact"/>
              <w:rPr>
                <w:rFonts w:ascii="Dotum" w:hAnsi="Dotum"/>
                <w:sz w:val="24"/>
              </w:rPr>
            </w:pPr>
            <w:r>
              <w:rPr>
                <w:rFonts w:hint="eastAsia" w:ascii="Dotum" w:hAnsi="Dotum"/>
                <w:sz w:val="24"/>
              </w:rPr>
              <w:t>□ 发生了不可预见的紧急情况不能从其他供应商处采购的。</w:t>
            </w:r>
          </w:p>
          <w:p w14:paraId="1669A90A">
            <w:pPr>
              <w:spacing w:line="440" w:lineRule="exact"/>
              <w:rPr>
                <w:rFonts w:ascii="Dotum" w:hAnsi="Dotum"/>
                <w:sz w:val="24"/>
              </w:rPr>
            </w:pPr>
            <w:r>
              <w:rPr>
                <w:rFonts w:hint="eastAsia" w:ascii="Dotum" w:hAnsi="Dotum"/>
                <w:sz w:val="24"/>
              </w:rPr>
              <w:t>□ 必须保证原有采购项目一致性或者服务配套的要求，需要继续从原供应</w:t>
            </w:r>
            <w:r>
              <w:rPr>
                <w:rFonts w:ascii="Dotum" w:hAnsi="Dotum"/>
                <w:sz w:val="24"/>
              </w:rPr>
              <w:t>商</w:t>
            </w:r>
            <w:r>
              <w:rPr>
                <w:rFonts w:hint="eastAsia" w:ascii="Dotum" w:hAnsi="Dotum"/>
                <w:sz w:val="24"/>
              </w:rPr>
              <w:t>处</w:t>
            </w:r>
            <w:r>
              <w:rPr>
                <w:rFonts w:ascii="Dotum" w:hAnsi="Dotum"/>
                <w:sz w:val="24"/>
              </w:rPr>
              <w:t>添</w:t>
            </w:r>
            <w:r>
              <w:rPr>
                <w:rFonts w:hint="eastAsia" w:ascii="Dotum" w:hAnsi="Dotum"/>
                <w:sz w:val="24"/>
              </w:rPr>
              <w:t>购</w:t>
            </w:r>
            <w:r>
              <w:rPr>
                <w:rFonts w:ascii="Dotum" w:hAnsi="Dotum"/>
                <w:sz w:val="24"/>
              </w:rPr>
              <w:t>，且</w:t>
            </w:r>
            <w:r>
              <w:rPr>
                <w:rFonts w:hint="eastAsia" w:ascii="Dotum" w:hAnsi="Dotum"/>
                <w:sz w:val="24"/>
              </w:rPr>
              <w:t>添购资</w:t>
            </w:r>
            <w:r>
              <w:rPr>
                <w:rFonts w:ascii="Dotum" w:hAnsi="Dotum"/>
                <w:sz w:val="24"/>
              </w:rPr>
              <w:t>金</w:t>
            </w:r>
            <w:r>
              <w:rPr>
                <w:rFonts w:hint="eastAsia" w:ascii="Dotum" w:hAnsi="Dotum"/>
                <w:sz w:val="24"/>
              </w:rPr>
              <w:t>总额</w:t>
            </w:r>
            <w:r>
              <w:rPr>
                <w:rFonts w:ascii="Dotum" w:hAnsi="Dotum"/>
                <w:sz w:val="24"/>
              </w:rPr>
              <w:t>不超</w:t>
            </w:r>
            <w:r>
              <w:rPr>
                <w:rFonts w:hint="eastAsia" w:ascii="Dotum" w:hAnsi="Dotum"/>
                <w:sz w:val="24"/>
              </w:rPr>
              <w:t>过</w:t>
            </w:r>
            <w:r>
              <w:rPr>
                <w:rFonts w:ascii="Dotum" w:hAnsi="Dotum"/>
                <w:sz w:val="24"/>
              </w:rPr>
              <w:t>合同采</w:t>
            </w:r>
            <w:r>
              <w:rPr>
                <w:rFonts w:hint="eastAsia" w:ascii="Dotum" w:hAnsi="Dotum"/>
                <w:sz w:val="24"/>
              </w:rPr>
              <w:t>购</w:t>
            </w:r>
            <w:r>
              <w:rPr>
                <w:rFonts w:ascii="Dotum" w:hAnsi="Dotum"/>
                <w:sz w:val="24"/>
              </w:rPr>
              <w:t>金</w:t>
            </w:r>
            <w:r>
              <w:rPr>
                <w:rFonts w:hint="eastAsia" w:ascii="Dotum" w:hAnsi="Dotum"/>
                <w:sz w:val="24"/>
              </w:rPr>
              <w:t>额</w:t>
            </w:r>
            <w:r>
              <w:rPr>
                <w:rFonts w:ascii="Dotum" w:hAnsi="Dotum"/>
                <w:sz w:val="24"/>
              </w:rPr>
              <w:t>百分之十的</w:t>
            </w:r>
            <w:r>
              <w:rPr>
                <w:rFonts w:hint="eastAsia" w:ascii="Dotum" w:hAnsi="Dotum"/>
                <w:sz w:val="24"/>
              </w:rPr>
              <w:t>。</w:t>
            </w:r>
          </w:p>
        </w:tc>
      </w:tr>
      <w:tr w14:paraId="3261AB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396" w:hRule="atLeast"/>
          <w:jc w:val="center"/>
        </w:trPr>
        <w:tc>
          <w:tcPr>
            <w:tcW w:w="1243" w:type="dxa"/>
            <w:vAlign w:val="center"/>
          </w:tcPr>
          <w:p w14:paraId="3C106126">
            <w:pPr>
              <w:jc w:val="center"/>
              <w:rPr>
                <w:rFonts w:ascii="宋体" w:hAnsi="宋体"/>
                <w:sz w:val="24"/>
              </w:rPr>
            </w:pPr>
            <w:r>
              <w:rPr>
                <w:rFonts w:hint="eastAsia"/>
                <w:sz w:val="24"/>
              </w:rPr>
              <w:t>详述理由</w:t>
            </w:r>
          </w:p>
        </w:tc>
        <w:tc>
          <w:tcPr>
            <w:tcW w:w="7285" w:type="dxa"/>
            <w:gridSpan w:val="4"/>
            <w:vAlign w:val="center"/>
          </w:tcPr>
          <w:p w14:paraId="5B6BB16A">
            <w:pPr>
              <w:rPr>
                <w:rFonts w:ascii="宋体" w:hAnsi="宋体"/>
              </w:rPr>
            </w:pPr>
          </w:p>
          <w:p w14:paraId="4D821BB4">
            <w:pPr>
              <w:rPr>
                <w:rFonts w:ascii="宋体" w:hAnsi="宋体"/>
              </w:rPr>
            </w:pPr>
          </w:p>
          <w:p w14:paraId="136DAD52">
            <w:pPr>
              <w:rPr>
                <w:rFonts w:ascii="宋体" w:hAnsi="宋体"/>
              </w:rPr>
            </w:pPr>
          </w:p>
          <w:p w14:paraId="719EEFF6">
            <w:pPr>
              <w:rPr>
                <w:rFonts w:ascii="宋体" w:hAnsi="宋体"/>
              </w:rPr>
            </w:pPr>
          </w:p>
          <w:p w14:paraId="7968B403">
            <w:pPr>
              <w:rPr>
                <w:rFonts w:ascii="宋体" w:hAnsi="宋体"/>
              </w:rPr>
            </w:pPr>
          </w:p>
          <w:p w14:paraId="0AA506EC">
            <w:pPr>
              <w:ind w:firstLine="480" w:firstLineChars="200"/>
              <w:rPr>
                <w:sz w:val="24"/>
              </w:rPr>
            </w:pPr>
            <w:r>
              <w:rPr>
                <w:rFonts w:hint="eastAsia"/>
                <w:sz w:val="24"/>
              </w:rPr>
              <w:t>本</w:t>
            </w:r>
            <w:bookmarkStart w:id="0" w:name="OLE_LINK2"/>
            <w:r>
              <w:rPr>
                <w:rFonts w:hint="eastAsia"/>
                <w:sz w:val="24"/>
              </w:rPr>
              <w:t>次网络安全防护设备对于学校的网络安全建设至关重要，在网络安全设备层面，校内部分安全设备已超期服役，连续运行时间长达 8 年，故障发生频率呈逐年上升趋势。web 应用防火墙更是在近一年内两次故障，每次故障均致使官网页面、校园出入管理、学生缴费、教师办公等核心业务陷入瘫痪，不仅极大影响校园日常运转，且现对我校公众形象产生严重影响。</w:t>
            </w:r>
          </w:p>
          <w:p w14:paraId="0F11CB4C">
            <w:pPr>
              <w:ind w:firstLine="480" w:firstLineChars="200"/>
              <w:rPr>
                <w:sz w:val="24"/>
              </w:rPr>
            </w:pPr>
            <w:r>
              <w:rPr>
                <w:rFonts w:hint="eastAsia"/>
                <w:sz w:val="24"/>
              </w:rPr>
              <w:t>因此本次采购的web应用防火墙应该具备双机热备的能力，单台性能满足网络层吞吐量不低于20 Gbps，应用层吞吐量不低于6Gbps，并发连接数不少于130万。同时上述设备部署完成后还应将日志以标准化形式接入我校安全运营平台，实现基于图数据库与图搜索引擎技术构建攻击知识图谱，形成结构化的安全知识模型。</w:t>
            </w:r>
          </w:p>
          <w:p w14:paraId="5AFAE06C">
            <w:pPr>
              <w:ind w:firstLine="480" w:firstLineChars="200"/>
              <w:rPr>
                <w:sz w:val="24"/>
              </w:rPr>
            </w:pPr>
            <w:r>
              <w:rPr>
                <w:rFonts w:hint="eastAsia"/>
                <w:sz w:val="24"/>
              </w:rPr>
              <w:t>最后，还需综合考虑价格、质量、服务等因素，达到“物有所值的价值目标，做到“价格、质量、效率、服务”的统一，保证项目采购的成功率和减少后续争议，确保项目采购的质量和效果。</w:t>
            </w:r>
            <w:bookmarkEnd w:id="0"/>
          </w:p>
          <w:p w14:paraId="6580718A">
            <w:pPr>
              <w:rPr>
                <w:sz w:val="24"/>
              </w:rPr>
            </w:pPr>
          </w:p>
          <w:p w14:paraId="0B90A0F7">
            <w:pPr>
              <w:rPr>
                <w:sz w:val="24"/>
              </w:rPr>
            </w:pPr>
          </w:p>
          <w:p w14:paraId="094FCCE9">
            <w:pPr>
              <w:rPr>
                <w:rFonts w:ascii="宋体" w:hAnsi="宋体"/>
              </w:rPr>
            </w:pPr>
          </w:p>
          <w:p w14:paraId="5574B805">
            <w:pPr>
              <w:rPr>
                <w:rFonts w:ascii="宋体" w:hAnsi="宋体"/>
              </w:rPr>
            </w:pPr>
          </w:p>
          <w:p w14:paraId="79C48C8D">
            <w:pPr>
              <w:rPr>
                <w:rFonts w:ascii="宋体" w:hAnsi="宋体"/>
              </w:rPr>
            </w:pPr>
          </w:p>
          <w:p w14:paraId="0450FD47">
            <w:pPr>
              <w:rPr>
                <w:rFonts w:ascii="宋体" w:hAnsi="宋体"/>
              </w:rPr>
            </w:pPr>
          </w:p>
          <w:p w14:paraId="3211509B">
            <w:pPr>
              <w:rPr>
                <w:rFonts w:ascii="宋体" w:hAnsi="宋体"/>
              </w:rPr>
            </w:pPr>
          </w:p>
          <w:p w14:paraId="5D4E0C8B">
            <w:pPr>
              <w:rPr>
                <w:rFonts w:ascii="宋体" w:hAnsi="宋体"/>
              </w:rPr>
            </w:pPr>
          </w:p>
          <w:p w14:paraId="16442038">
            <w:pPr>
              <w:rPr>
                <w:rFonts w:ascii="宋体" w:hAnsi="宋体"/>
              </w:rPr>
            </w:pPr>
          </w:p>
          <w:p w14:paraId="4E94B126">
            <w:pPr>
              <w:rPr>
                <w:rFonts w:ascii="宋体" w:hAnsi="宋体"/>
              </w:rPr>
            </w:pPr>
          </w:p>
          <w:p w14:paraId="395CF079">
            <w:pPr>
              <w:rPr>
                <w:rFonts w:ascii="宋体" w:hAnsi="宋体"/>
              </w:rPr>
            </w:pPr>
          </w:p>
          <w:p w14:paraId="3D821A7D">
            <w:pPr>
              <w:rPr>
                <w:rFonts w:ascii="宋体" w:hAnsi="宋体"/>
              </w:rPr>
            </w:pPr>
          </w:p>
          <w:p w14:paraId="433F00A8">
            <w:pPr>
              <w:rPr>
                <w:rFonts w:ascii="宋体" w:hAnsi="宋体"/>
              </w:rPr>
            </w:pPr>
          </w:p>
          <w:p w14:paraId="6308FF4D">
            <w:pPr>
              <w:rPr>
                <w:rFonts w:ascii="宋体" w:hAnsi="宋体"/>
              </w:rPr>
            </w:pPr>
          </w:p>
          <w:p w14:paraId="6B3717BE">
            <w:pPr>
              <w:rPr>
                <w:rFonts w:ascii="宋体" w:hAnsi="宋体"/>
              </w:rPr>
            </w:pPr>
          </w:p>
          <w:p w14:paraId="3B96CE02">
            <w:pPr>
              <w:spacing w:line="480" w:lineRule="exact"/>
              <w:ind w:firstLine="8640" w:firstLineChars="3600"/>
              <w:rPr>
                <w:rFonts w:ascii="Dotum" w:hAnsi="Dotum"/>
                <w:sz w:val="24"/>
              </w:rPr>
            </w:pPr>
          </w:p>
          <w:p w14:paraId="2369F17A">
            <w:pPr>
              <w:spacing w:line="480" w:lineRule="exact"/>
              <w:ind w:firstLine="8640" w:firstLineChars="3600"/>
              <w:rPr>
                <w:rFonts w:ascii="Dotum" w:hAnsi="Dotum"/>
                <w:sz w:val="24"/>
              </w:rPr>
            </w:pPr>
            <w:r>
              <w:rPr>
                <w:rFonts w:ascii="Dotum" w:hAnsi="Dotum"/>
                <w:sz w:val="24"/>
              </w:rPr>
              <w:t>&gt;</w:t>
            </w:r>
          </w:p>
        </w:tc>
      </w:tr>
      <w:tr w14:paraId="1C6495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850" w:hRule="atLeast"/>
          <w:jc w:val="center"/>
        </w:trPr>
        <w:tc>
          <w:tcPr>
            <w:tcW w:w="8528" w:type="dxa"/>
            <w:gridSpan w:val="5"/>
            <w:vAlign w:val="center"/>
          </w:tcPr>
          <w:p w14:paraId="67FCAFE7">
            <w:pPr>
              <w:spacing w:before="156" w:beforeLines="50"/>
              <w:rPr>
                <w:rFonts w:ascii="Dotum" w:hAnsi="Dotum"/>
                <w:sz w:val="24"/>
              </w:rPr>
            </w:pPr>
            <w:r>
              <w:rPr>
                <w:rFonts w:hint="eastAsia" w:ascii="宋体" w:hAnsi="宋体"/>
                <w:sz w:val="24"/>
              </w:rPr>
              <w:t>项目（设备）负责</w:t>
            </w:r>
            <w:r>
              <w:rPr>
                <w:rFonts w:ascii="宋体" w:hAnsi="宋体"/>
                <w:sz w:val="24"/>
              </w:rPr>
              <w:t>人</w:t>
            </w:r>
            <w:r>
              <w:rPr>
                <w:rFonts w:hint="eastAsia" w:ascii="宋体" w:hAnsi="宋体"/>
                <w:sz w:val="24"/>
              </w:rPr>
              <w:t>签字：</w:t>
            </w:r>
            <w:r>
              <w:rPr>
                <w:rFonts w:hint="eastAsia" w:ascii="Dotum" w:hAnsi="Dotum"/>
                <w:sz w:val="24"/>
              </w:rPr>
              <w:t xml:space="preserve">                </w:t>
            </w:r>
          </w:p>
          <w:p w14:paraId="63F5146C">
            <w:pPr>
              <w:spacing w:before="156" w:beforeLines="50"/>
              <w:rPr>
                <w:rFonts w:ascii="Dotum" w:hAnsi="Dotum"/>
                <w:sz w:val="24"/>
              </w:rPr>
            </w:pPr>
            <w:r>
              <w:rPr>
                <w:rFonts w:hint="eastAsia" w:ascii="Dotum" w:hAnsi="Dotum"/>
                <w:sz w:val="24"/>
              </w:rPr>
              <w:t xml:space="preserve">                                 </w:t>
            </w:r>
          </w:p>
          <w:p w14:paraId="4C1D5577">
            <w:pPr>
              <w:jc w:val="center"/>
              <w:rPr>
                <w:rFonts w:ascii="宋体" w:hAnsi="宋体"/>
                <w:sz w:val="24"/>
              </w:rPr>
            </w:pPr>
            <w:r>
              <w:rPr>
                <w:rFonts w:hint="eastAsia" w:ascii="Dotum" w:hAnsi="Dotum"/>
                <w:sz w:val="24"/>
              </w:rPr>
              <w:t xml:space="preserve">   </w:t>
            </w:r>
            <w:r>
              <w:rPr>
                <w:rFonts w:ascii="Dotum" w:hAnsi="Dotum"/>
                <w:sz w:val="24"/>
              </w:rPr>
              <w:t xml:space="preserve">                       </w:t>
            </w:r>
            <w:r>
              <w:rPr>
                <w:rFonts w:hint="eastAsia" w:ascii="Dotum" w:hAnsi="Dotum"/>
                <w:sz w:val="24"/>
              </w:rPr>
              <w:t xml:space="preserve">               </w:t>
            </w:r>
            <w:r>
              <w:rPr>
                <w:rFonts w:ascii="Dotum" w:hAnsi="Dotum"/>
                <w:sz w:val="24"/>
              </w:rPr>
              <w:t xml:space="preserve"> </w:t>
            </w:r>
            <w:r>
              <w:rPr>
                <w:rFonts w:hint="eastAsia" w:ascii="Dotum" w:hAnsi="Dotum"/>
                <w:sz w:val="24"/>
              </w:rPr>
              <w:t xml:space="preserve"> 年   月   日</w:t>
            </w:r>
          </w:p>
        </w:tc>
      </w:tr>
    </w:tbl>
    <w:p w14:paraId="59B86B8B">
      <w:pPr>
        <w:rPr>
          <w:rFonts w:ascii="宋体" w:hAnsi="宋体" w:cs="微软雅黑"/>
          <w:sz w:val="24"/>
          <w:szCs w:val="21"/>
        </w:rPr>
      </w:pPr>
      <w:r>
        <w:rPr>
          <w:rFonts w:hint="eastAsia" w:ascii="宋体" w:hAnsi="宋体" w:cs="微软雅黑"/>
          <w:sz w:val="24"/>
          <w:szCs w:val="21"/>
        </w:rPr>
        <w:t>注</w:t>
      </w:r>
      <w:r>
        <w:rPr>
          <w:rFonts w:ascii="宋体" w:hAnsi="宋体" w:cs="微软雅黑"/>
          <w:sz w:val="24"/>
          <w:szCs w:val="21"/>
        </w:rPr>
        <w:t>：</w:t>
      </w:r>
      <w:r>
        <w:rPr>
          <w:rFonts w:hint="eastAsia" w:ascii="宋体" w:hAnsi="宋体" w:cs="微软雅黑"/>
          <w:sz w:val="24"/>
          <w:szCs w:val="21"/>
        </w:rPr>
        <w:t>（1）在“□”内</w:t>
      </w:r>
      <w:r>
        <w:rPr>
          <w:rFonts w:ascii="宋体" w:hAnsi="宋体" w:cs="微软雅黑"/>
          <w:sz w:val="24"/>
          <w:szCs w:val="21"/>
        </w:rPr>
        <w:t>画</w:t>
      </w:r>
      <w:r>
        <w:rPr>
          <w:rFonts w:hint="eastAsia" w:ascii="宋体" w:hAnsi="宋体" w:cs="微软雅黑"/>
          <w:sz w:val="24"/>
          <w:szCs w:val="21"/>
        </w:rPr>
        <w:t>“</w:t>
      </w:r>
      <w:r>
        <w:rPr>
          <w:rFonts w:ascii="宋体" w:hAnsi="宋体" w:cs="微软雅黑"/>
          <w:sz w:val="24"/>
          <w:szCs w:val="21"/>
        </w:rPr>
        <w:t>√</w:t>
      </w:r>
      <w:r>
        <w:rPr>
          <w:rFonts w:hint="eastAsia" w:ascii="宋体" w:hAnsi="宋体" w:cs="微软雅黑"/>
          <w:sz w:val="24"/>
          <w:szCs w:val="21"/>
        </w:rPr>
        <w:t>”并且</w:t>
      </w:r>
      <w:r>
        <w:rPr>
          <w:rFonts w:ascii="宋体" w:hAnsi="宋体" w:cs="微软雅黑"/>
          <w:sz w:val="24"/>
          <w:szCs w:val="21"/>
        </w:rPr>
        <w:t>详细</w:t>
      </w:r>
      <w:r>
        <w:rPr>
          <w:rFonts w:hint="eastAsia" w:ascii="宋体" w:hAnsi="宋体" w:cs="微软雅黑"/>
          <w:sz w:val="24"/>
          <w:szCs w:val="21"/>
        </w:rPr>
        <w:t>阐述选择</w:t>
      </w:r>
      <w:r>
        <w:rPr>
          <w:rFonts w:ascii="宋体" w:hAnsi="宋体" w:cs="微软雅黑"/>
          <w:sz w:val="24"/>
          <w:szCs w:val="21"/>
        </w:rPr>
        <w:t>理由。</w:t>
      </w:r>
      <w:r>
        <w:rPr>
          <w:rFonts w:hint="eastAsia" w:ascii="宋体" w:hAnsi="宋体" w:cs="微软雅黑"/>
          <w:sz w:val="24"/>
          <w:szCs w:val="21"/>
        </w:rPr>
        <w:t>（2）招标方式主要区别：公开招标项目公示期为20天以上，竞争性磋商项目公示期为10天以上，竞争性谈判项目公示期为3个工作日以上；公开招标项目和竞争性</w:t>
      </w:r>
      <w:r>
        <w:rPr>
          <w:rFonts w:ascii="宋体" w:hAnsi="宋体" w:cs="微软雅黑"/>
          <w:sz w:val="24"/>
          <w:szCs w:val="21"/>
        </w:rPr>
        <w:t>磋商项目</w:t>
      </w:r>
      <w:r>
        <w:rPr>
          <w:rFonts w:hint="eastAsia" w:ascii="宋体" w:hAnsi="宋体" w:cs="微软雅黑"/>
          <w:sz w:val="24"/>
          <w:szCs w:val="21"/>
        </w:rPr>
        <w:t>一般都是</w:t>
      </w:r>
      <w:r>
        <w:rPr>
          <w:rFonts w:ascii="宋体" w:hAnsi="宋体" w:cs="微软雅黑"/>
          <w:sz w:val="24"/>
          <w:szCs w:val="21"/>
        </w:rPr>
        <w:t>以综合评分法确定成交供应商，</w:t>
      </w:r>
      <w:r>
        <w:rPr>
          <w:rFonts w:hint="eastAsia" w:ascii="宋体" w:hAnsi="宋体" w:cs="微软雅黑"/>
          <w:sz w:val="24"/>
          <w:szCs w:val="21"/>
        </w:rPr>
        <w:t>竞争性</w:t>
      </w:r>
      <w:r>
        <w:rPr>
          <w:rFonts w:ascii="宋体" w:hAnsi="宋体" w:cs="微软雅黑"/>
          <w:sz w:val="24"/>
          <w:szCs w:val="21"/>
        </w:rPr>
        <w:t>谈判项目以最低报价法</w:t>
      </w:r>
      <w:r>
        <w:rPr>
          <w:rFonts w:hint="eastAsia" w:ascii="宋体" w:hAnsi="宋体" w:cs="微软雅黑"/>
          <w:sz w:val="24"/>
          <w:szCs w:val="21"/>
        </w:rPr>
        <w:t>确定</w:t>
      </w:r>
      <w:r>
        <w:rPr>
          <w:rFonts w:ascii="宋体" w:hAnsi="宋体" w:cs="微软雅黑"/>
          <w:sz w:val="24"/>
          <w:szCs w:val="21"/>
        </w:rPr>
        <w:t>成交供应商。</w:t>
      </w:r>
      <w:r>
        <w:rPr>
          <w:rFonts w:hint="eastAsia" w:ascii="宋体" w:hAnsi="宋体" w:cs="微软雅黑"/>
          <w:sz w:val="24"/>
          <w:szCs w:val="21"/>
        </w:rPr>
        <w:t>（3）200万元及以上的采购项目，原则上必须选择公开招标。（4）单一来源项目经初审通过后，再单独填写单一来源项目专用表格并办理相关手续。（5）</w:t>
      </w:r>
      <w:r>
        <w:rPr>
          <w:rFonts w:hint="eastAsia" w:ascii="宋体" w:hAnsi="宋体" w:cs="微软雅黑"/>
          <w:b/>
          <w:bCs/>
          <w:sz w:val="24"/>
          <w:szCs w:val="21"/>
        </w:rPr>
        <w:t>公开招标项目无需填写此表</w:t>
      </w:r>
      <w:r>
        <w:rPr>
          <w:rFonts w:hint="eastAsia" w:ascii="宋体" w:hAnsi="宋体" w:cs="微软雅黑"/>
          <w:sz w:val="24"/>
          <w:szCs w:val="21"/>
        </w:rPr>
        <w:t>。</w:t>
      </w:r>
    </w:p>
    <w:p w14:paraId="1302ABAF">
      <w:pPr>
        <w:spacing w:line="360" w:lineRule="auto"/>
        <w:rPr>
          <w:rFonts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swiss"/>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zYWQzYWVmYTM2M2I4YmVjNzFmYThlYjViMmIwMDYifQ=="/>
  </w:docVars>
  <w:rsids>
    <w:rsidRoot w:val="00DB3902"/>
    <w:rsid w:val="0000135E"/>
    <w:rsid w:val="0000795C"/>
    <w:rsid w:val="00011AF5"/>
    <w:rsid w:val="000123CA"/>
    <w:rsid w:val="00020438"/>
    <w:rsid w:val="000247DC"/>
    <w:rsid w:val="00045631"/>
    <w:rsid w:val="0005004C"/>
    <w:rsid w:val="00071693"/>
    <w:rsid w:val="000822CB"/>
    <w:rsid w:val="0008767F"/>
    <w:rsid w:val="000A2D6B"/>
    <w:rsid w:val="000A35EC"/>
    <w:rsid w:val="000A6FE9"/>
    <w:rsid w:val="000A7CD6"/>
    <w:rsid w:val="000C184F"/>
    <w:rsid w:val="000E2EAA"/>
    <w:rsid w:val="000E3422"/>
    <w:rsid w:val="000E68CD"/>
    <w:rsid w:val="00111F73"/>
    <w:rsid w:val="001335EE"/>
    <w:rsid w:val="001400A9"/>
    <w:rsid w:val="00154DF1"/>
    <w:rsid w:val="00170C09"/>
    <w:rsid w:val="001805F6"/>
    <w:rsid w:val="001845EE"/>
    <w:rsid w:val="001A4C59"/>
    <w:rsid w:val="001A4DD5"/>
    <w:rsid w:val="001B54A9"/>
    <w:rsid w:val="001C1C95"/>
    <w:rsid w:val="001D0C0D"/>
    <w:rsid w:val="001E584B"/>
    <w:rsid w:val="001E7CF5"/>
    <w:rsid w:val="001F1473"/>
    <w:rsid w:val="001F481B"/>
    <w:rsid w:val="001F60D5"/>
    <w:rsid w:val="00201493"/>
    <w:rsid w:val="002053EF"/>
    <w:rsid w:val="00235B22"/>
    <w:rsid w:val="00244BBF"/>
    <w:rsid w:val="00263D9A"/>
    <w:rsid w:val="00270221"/>
    <w:rsid w:val="0027757B"/>
    <w:rsid w:val="002964AE"/>
    <w:rsid w:val="002E519C"/>
    <w:rsid w:val="00305686"/>
    <w:rsid w:val="00306C12"/>
    <w:rsid w:val="00315235"/>
    <w:rsid w:val="00330E0D"/>
    <w:rsid w:val="0033397A"/>
    <w:rsid w:val="003545AA"/>
    <w:rsid w:val="003A0037"/>
    <w:rsid w:val="003A336E"/>
    <w:rsid w:val="003A69A9"/>
    <w:rsid w:val="003D6EFB"/>
    <w:rsid w:val="003E7311"/>
    <w:rsid w:val="003F429C"/>
    <w:rsid w:val="00410F83"/>
    <w:rsid w:val="00412918"/>
    <w:rsid w:val="00421942"/>
    <w:rsid w:val="00431D9E"/>
    <w:rsid w:val="004459D2"/>
    <w:rsid w:val="0045575F"/>
    <w:rsid w:val="00483C3E"/>
    <w:rsid w:val="004A1DD6"/>
    <w:rsid w:val="004E5CED"/>
    <w:rsid w:val="004F0C45"/>
    <w:rsid w:val="00514744"/>
    <w:rsid w:val="005204C1"/>
    <w:rsid w:val="00532068"/>
    <w:rsid w:val="0057138B"/>
    <w:rsid w:val="00574287"/>
    <w:rsid w:val="00584AB5"/>
    <w:rsid w:val="005967E7"/>
    <w:rsid w:val="005C0E7E"/>
    <w:rsid w:val="005C780E"/>
    <w:rsid w:val="005D2B2C"/>
    <w:rsid w:val="005D55EA"/>
    <w:rsid w:val="005E1CCE"/>
    <w:rsid w:val="00606FB2"/>
    <w:rsid w:val="00616E51"/>
    <w:rsid w:val="0062621F"/>
    <w:rsid w:val="006322E8"/>
    <w:rsid w:val="00634D3F"/>
    <w:rsid w:val="00635689"/>
    <w:rsid w:val="00645A07"/>
    <w:rsid w:val="006573C0"/>
    <w:rsid w:val="00670D9A"/>
    <w:rsid w:val="00680419"/>
    <w:rsid w:val="00682E4E"/>
    <w:rsid w:val="006831CA"/>
    <w:rsid w:val="006B06EF"/>
    <w:rsid w:val="006B0B20"/>
    <w:rsid w:val="006D17C5"/>
    <w:rsid w:val="006D209C"/>
    <w:rsid w:val="006D263F"/>
    <w:rsid w:val="007135F6"/>
    <w:rsid w:val="007200AE"/>
    <w:rsid w:val="007433F3"/>
    <w:rsid w:val="00746194"/>
    <w:rsid w:val="00756740"/>
    <w:rsid w:val="00763D48"/>
    <w:rsid w:val="00774BEE"/>
    <w:rsid w:val="00785041"/>
    <w:rsid w:val="007973CA"/>
    <w:rsid w:val="007A45E1"/>
    <w:rsid w:val="007B6678"/>
    <w:rsid w:val="00803310"/>
    <w:rsid w:val="00843A83"/>
    <w:rsid w:val="00845E60"/>
    <w:rsid w:val="00861373"/>
    <w:rsid w:val="00861EA9"/>
    <w:rsid w:val="008662DD"/>
    <w:rsid w:val="008831E2"/>
    <w:rsid w:val="008A6D81"/>
    <w:rsid w:val="008B4259"/>
    <w:rsid w:val="008B4923"/>
    <w:rsid w:val="008C68C8"/>
    <w:rsid w:val="008D10DD"/>
    <w:rsid w:val="009161CD"/>
    <w:rsid w:val="0091671E"/>
    <w:rsid w:val="00922E8E"/>
    <w:rsid w:val="00930995"/>
    <w:rsid w:val="009356EC"/>
    <w:rsid w:val="00944537"/>
    <w:rsid w:val="00945B13"/>
    <w:rsid w:val="0094738D"/>
    <w:rsid w:val="009712E5"/>
    <w:rsid w:val="00973637"/>
    <w:rsid w:val="00990B50"/>
    <w:rsid w:val="009A114C"/>
    <w:rsid w:val="009B4ECF"/>
    <w:rsid w:val="009B5FE7"/>
    <w:rsid w:val="009C17BB"/>
    <w:rsid w:val="009D6ECB"/>
    <w:rsid w:val="009E14A0"/>
    <w:rsid w:val="00A154E9"/>
    <w:rsid w:val="00A21C5C"/>
    <w:rsid w:val="00A27F3F"/>
    <w:rsid w:val="00A41912"/>
    <w:rsid w:val="00A54AEF"/>
    <w:rsid w:val="00A71C25"/>
    <w:rsid w:val="00A772E5"/>
    <w:rsid w:val="00A90225"/>
    <w:rsid w:val="00A934AB"/>
    <w:rsid w:val="00AA0AF1"/>
    <w:rsid w:val="00AA137D"/>
    <w:rsid w:val="00AB1AAA"/>
    <w:rsid w:val="00AB5375"/>
    <w:rsid w:val="00AB683B"/>
    <w:rsid w:val="00AC1546"/>
    <w:rsid w:val="00AC1733"/>
    <w:rsid w:val="00AE12DF"/>
    <w:rsid w:val="00AE2D62"/>
    <w:rsid w:val="00AF0F74"/>
    <w:rsid w:val="00AF11AE"/>
    <w:rsid w:val="00B15F5E"/>
    <w:rsid w:val="00B169E3"/>
    <w:rsid w:val="00B462D8"/>
    <w:rsid w:val="00B46F60"/>
    <w:rsid w:val="00B83593"/>
    <w:rsid w:val="00B91B4F"/>
    <w:rsid w:val="00B965D1"/>
    <w:rsid w:val="00BA394C"/>
    <w:rsid w:val="00BA4F8B"/>
    <w:rsid w:val="00BD1056"/>
    <w:rsid w:val="00BF4747"/>
    <w:rsid w:val="00C17BFA"/>
    <w:rsid w:val="00C204C2"/>
    <w:rsid w:val="00C207AF"/>
    <w:rsid w:val="00C27BD2"/>
    <w:rsid w:val="00C37835"/>
    <w:rsid w:val="00C560F1"/>
    <w:rsid w:val="00C60BAE"/>
    <w:rsid w:val="00C75C8E"/>
    <w:rsid w:val="00C82EF1"/>
    <w:rsid w:val="00CB1A31"/>
    <w:rsid w:val="00CC180E"/>
    <w:rsid w:val="00CC29E1"/>
    <w:rsid w:val="00CE1F46"/>
    <w:rsid w:val="00CE576F"/>
    <w:rsid w:val="00CF17EA"/>
    <w:rsid w:val="00D17989"/>
    <w:rsid w:val="00D440D3"/>
    <w:rsid w:val="00D5625F"/>
    <w:rsid w:val="00D5742D"/>
    <w:rsid w:val="00D655A7"/>
    <w:rsid w:val="00D874CD"/>
    <w:rsid w:val="00D92402"/>
    <w:rsid w:val="00D96549"/>
    <w:rsid w:val="00DA58DC"/>
    <w:rsid w:val="00DB3902"/>
    <w:rsid w:val="00DE48FB"/>
    <w:rsid w:val="00DE5123"/>
    <w:rsid w:val="00DE6C4C"/>
    <w:rsid w:val="00E00018"/>
    <w:rsid w:val="00E268BE"/>
    <w:rsid w:val="00E30365"/>
    <w:rsid w:val="00E425EF"/>
    <w:rsid w:val="00E55C1F"/>
    <w:rsid w:val="00E57285"/>
    <w:rsid w:val="00EA4C82"/>
    <w:rsid w:val="00EB261E"/>
    <w:rsid w:val="00EC4AE3"/>
    <w:rsid w:val="00EC6833"/>
    <w:rsid w:val="00ED4738"/>
    <w:rsid w:val="00EF0A57"/>
    <w:rsid w:val="00F11972"/>
    <w:rsid w:val="00F12DFA"/>
    <w:rsid w:val="00F34B97"/>
    <w:rsid w:val="00F40AFD"/>
    <w:rsid w:val="00F435AC"/>
    <w:rsid w:val="00F4503F"/>
    <w:rsid w:val="00F50D93"/>
    <w:rsid w:val="00F736E2"/>
    <w:rsid w:val="00F73D28"/>
    <w:rsid w:val="00F86C54"/>
    <w:rsid w:val="00F873E2"/>
    <w:rsid w:val="00F87F9F"/>
    <w:rsid w:val="00F95F1C"/>
    <w:rsid w:val="00FB491C"/>
    <w:rsid w:val="00FC126E"/>
    <w:rsid w:val="00FD31D6"/>
    <w:rsid w:val="00FD77B3"/>
    <w:rsid w:val="02820350"/>
    <w:rsid w:val="038046B7"/>
    <w:rsid w:val="03FD0E3E"/>
    <w:rsid w:val="04794225"/>
    <w:rsid w:val="049A7BD3"/>
    <w:rsid w:val="065B5A88"/>
    <w:rsid w:val="06B17456"/>
    <w:rsid w:val="06FB67BE"/>
    <w:rsid w:val="088309E8"/>
    <w:rsid w:val="09A80857"/>
    <w:rsid w:val="0B316DB7"/>
    <w:rsid w:val="0B3643CE"/>
    <w:rsid w:val="0B7A7CC3"/>
    <w:rsid w:val="0C6E02C3"/>
    <w:rsid w:val="0E72396F"/>
    <w:rsid w:val="0F5C0B51"/>
    <w:rsid w:val="10926DBF"/>
    <w:rsid w:val="10DF4D27"/>
    <w:rsid w:val="118063A3"/>
    <w:rsid w:val="11BF4D40"/>
    <w:rsid w:val="133E2072"/>
    <w:rsid w:val="13550080"/>
    <w:rsid w:val="17290A30"/>
    <w:rsid w:val="19D67E3A"/>
    <w:rsid w:val="1C737230"/>
    <w:rsid w:val="1D3617C8"/>
    <w:rsid w:val="1D764824"/>
    <w:rsid w:val="1F6A4ADE"/>
    <w:rsid w:val="1F8A2A58"/>
    <w:rsid w:val="20954321"/>
    <w:rsid w:val="21401A3F"/>
    <w:rsid w:val="21C30312"/>
    <w:rsid w:val="22EA5AA1"/>
    <w:rsid w:val="235F193C"/>
    <w:rsid w:val="23760F5B"/>
    <w:rsid w:val="24132CA6"/>
    <w:rsid w:val="24AA4DDC"/>
    <w:rsid w:val="2524556B"/>
    <w:rsid w:val="2590711C"/>
    <w:rsid w:val="2610297D"/>
    <w:rsid w:val="26234D89"/>
    <w:rsid w:val="266D7A18"/>
    <w:rsid w:val="27E15995"/>
    <w:rsid w:val="29010F39"/>
    <w:rsid w:val="2AAF224E"/>
    <w:rsid w:val="2C4133C1"/>
    <w:rsid w:val="2F0F32CE"/>
    <w:rsid w:val="321073EE"/>
    <w:rsid w:val="32220E91"/>
    <w:rsid w:val="328508C1"/>
    <w:rsid w:val="34262A8D"/>
    <w:rsid w:val="354550F3"/>
    <w:rsid w:val="35767811"/>
    <w:rsid w:val="35DA1C76"/>
    <w:rsid w:val="3795172C"/>
    <w:rsid w:val="3A695377"/>
    <w:rsid w:val="3B697D24"/>
    <w:rsid w:val="3CF14232"/>
    <w:rsid w:val="3D8175A7"/>
    <w:rsid w:val="40CE2BB5"/>
    <w:rsid w:val="412D70FE"/>
    <w:rsid w:val="42767986"/>
    <w:rsid w:val="42BA0E65"/>
    <w:rsid w:val="4A600544"/>
    <w:rsid w:val="4B542B77"/>
    <w:rsid w:val="4B9F6E1F"/>
    <w:rsid w:val="4C9F327B"/>
    <w:rsid w:val="509947B0"/>
    <w:rsid w:val="531E2FF2"/>
    <w:rsid w:val="5499550F"/>
    <w:rsid w:val="55A55633"/>
    <w:rsid w:val="55AE3C0E"/>
    <w:rsid w:val="56B658DB"/>
    <w:rsid w:val="571F48F7"/>
    <w:rsid w:val="598C7B89"/>
    <w:rsid w:val="59A1148A"/>
    <w:rsid w:val="5A44475B"/>
    <w:rsid w:val="5AF80E2D"/>
    <w:rsid w:val="5B506723"/>
    <w:rsid w:val="5BA81D4B"/>
    <w:rsid w:val="5DE20E9D"/>
    <w:rsid w:val="5F0D6C9F"/>
    <w:rsid w:val="614B38A4"/>
    <w:rsid w:val="61A5698F"/>
    <w:rsid w:val="61B63590"/>
    <w:rsid w:val="61DC44FC"/>
    <w:rsid w:val="62064B81"/>
    <w:rsid w:val="6372539B"/>
    <w:rsid w:val="63E80DAE"/>
    <w:rsid w:val="643876B9"/>
    <w:rsid w:val="663E5786"/>
    <w:rsid w:val="66EB763C"/>
    <w:rsid w:val="6B2807B2"/>
    <w:rsid w:val="6BBF5D3D"/>
    <w:rsid w:val="6BC758CE"/>
    <w:rsid w:val="70577F0C"/>
    <w:rsid w:val="72C264DB"/>
    <w:rsid w:val="73A82490"/>
    <w:rsid w:val="74B26A80"/>
    <w:rsid w:val="779A3673"/>
    <w:rsid w:val="77C67628"/>
    <w:rsid w:val="7BD13B5F"/>
    <w:rsid w:val="7F7ED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23"/>
    <w:autoRedefine/>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7"/>
    <w:qFormat/>
    <w:uiPriority w:val="10"/>
    <w:pPr>
      <w:spacing w:before="240" w:after="60"/>
      <w:jc w:val="center"/>
      <w:outlineLvl w:val="0"/>
    </w:pPr>
    <w:rPr>
      <w:rFonts w:ascii="Cambria" w:hAnsi="Cambria"/>
      <w:b/>
      <w:bCs/>
      <w:sz w:val="32"/>
      <w:szCs w:val="32"/>
    </w:rPr>
  </w:style>
  <w:style w:type="paragraph" w:styleId="8">
    <w:name w:val="annotation subject"/>
    <w:basedOn w:val="3"/>
    <w:next w:val="3"/>
    <w:link w:val="24"/>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semiHidden/>
    <w:qFormat/>
    <w:uiPriority w:val="0"/>
  </w:style>
  <w:style w:type="character" w:styleId="13">
    <w:name w:val="Hyperlink"/>
    <w:autoRedefine/>
    <w:unhideWhenUsed/>
    <w:qFormat/>
    <w:uiPriority w:val="99"/>
    <w:rPr>
      <w:color w:val="0000FF"/>
      <w:u w:val="single"/>
    </w:rPr>
  </w:style>
  <w:style w:type="character" w:styleId="14">
    <w:name w:val="annotation reference"/>
    <w:basedOn w:val="11"/>
    <w:autoRedefine/>
    <w:qFormat/>
    <w:uiPriority w:val="0"/>
    <w:rPr>
      <w:sz w:val="21"/>
      <w:szCs w:val="21"/>
    </w:rPr>
  </w:style>
  <w:style w:type="character" w:customStyle="1" w:styleId="15">
    <w:name w:val="页脚 字符"/>
    <w:link w:val="5"/>
    <w:qFormat/>
    <w:uiPriority w:val="0"/>
    <w:rPr>
      <w:kern w:val="2"/>
      <w:sz w:val="18"/>
      <w:szCs w:val="18"/>
    </w:rPr>
  </w:style>
  <w:style w:type="character" w:customStyle="1" w:styleId="16">
    <w:name w:val="页眉 字符"/>
    <w:link w:val="6"/>
    <w:autoRedefine/>
    <w:qFormat/>
    <w:uiPriority w:val="0"/>
    <w:rPr>
      <w:kern w:val="2"/>
      <w:sz w:val="18"/>
      <w:szCs w:val="18"/>
    </w:rPr>
  </w:style>
  <w:style w:type="character" w:customStyle="1" w:styleId="17">
    <w:name w:val="标题 字符"/>
    <w:link w:val="7"/>
    <w:autoRedefine/>
    <w:qFormat/>
    <w:uiPriority w:val="10"/>
    <w:rPr>
      <w:rFonts w:ascii="Cambria" w:hAnsi="Cambria"/>
      <w:b/>
      <w:bCs/>
      <w:kern w:val="2"/>
      <w:sz w:val="32"/>
      <w:szCs w:val="32"/>
    </w:rPr>
  </w:style>
  <w:style w:type="paragraph" w:customStyle="1" w:styleId="1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paragraph" w:customStyle="1" w:styleId="2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批注文字 字符"/>
    <w:basedOn w:val="11"/>
    <w:link w:val="3"/>
    <w:autoRedefine/>
    <w:qFormat/>
    <w:uiPriority w:val="0"/>
    <w:rPr>
      <w:kern w:val="2"/>
      <w:sz w:val="21"/>
      <w:szCs w:val="24"/>
    </w:rPr>
  </w:style>
  <w:style w:type="character" w:customStyle="1" w:styleId="24">
    <w:name w:val="批注主题 字符"/>
    <w:basedOn w:val="23"/>
    <w:link w:val="8"/>
    <w:autoRedefine/>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6</Pages>
  <Words>3340</Words>
  <Characters>3585</Characters>
  <Lines>52</Lines>
  <Paragraphs>14</Paragraphs>
  <TotalTime>5</TotalTime>
  <ScaleCrop>false</ScaleCrop>
  <LinksUpToDate>false</LinksUpToDate>
  <CharactersWithSpaces>3618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2023-09-27T11:26:00Z</dcterms:created>
  <dc:creator>薛昊</dc:creator>
  <cp:lastModifiedBy>古灵娇妍</cp:lastModifiedBy>
  <cp:lastPrinted>2023-10-16T08:14:00Z</cp:lastPrinted>
  <dcterms:modified xsi:type="dcterms:W3CDTF">2025-07-14T08:43:41Z</dcterms:modified>
  <dc:title>项目需求书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AA5ADDAA518844A290CE2C5D3EDEB12E_13</vt:lpwstr>
  </property>
  <property fmtid="{D5CDD505-2E9C-101B-9397-08002B2CF9AE}" pid="4" name="KSOTemplateDocerSaveRecord">
    <vt:lpwstr>eyJoZGlkIjoiMjMxMzdjYjQ0ZDE4YjMzZjQxMTFlNjkzOTE0ZGNlOTQiLCJ1c2VySWQiOiI4NTI0Njg3NjQifQ==</vt:lpwstr>
  </property>
</Properties>
</file>